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A" w:rsidRDefault="00385DCA" w:rsidP="00385DCA">
      <w:pPr>
        <w:jc w:val="center"/>
        <w:rPr>
          <w:rFonts w:ascii="Arial" w:hAnsi="Arial" w:cs="Arial"/>
          <w:i/>
        </w:rPr>
      </w:pPr>
      <w:r w:rsidRPr="00EF7A88">
        <w:rPr>
          <w:b/>
          <w:noProof/>
          <w:sz w:val="36"/>
          <w:szCs w:val="36"/>
          <w:lang w:eastAsia="en-GB"/>
        </w:rPr>
        <w:drawing>
          <wp:anchor distT="0" distB="0" distL="114300" distR="114300" simplePos="0" relativeHeight="251660288" behindDoc="1" locked="0" layoutInCell="1" allowOverlap="1" wp14:anchorId="61F5E915" wp14:editId="31FBC0CB">
            <wp:simplePos x="0" y="0"/>
            <wp:positionH relativeFrom="column">
              <wp:posOffset>5829300</wp:posOffset>
            </wp:positionH>
            <wp:positionV relativeFrom="paragraph">
              <wp:posOffset>-568960</wp:posOffset>
            </wp:positionV>
            <wp:extent cx="828040" cy="1047750"/>
            <wp:effectExtent l="0" t="0" r="0" b="0"/>
            <wp:wrapTight wrapText="bothSides">
              <wp:wrapPolygon edited="0">
                <wp:start x="0" y="0"/>
                <wp:lineTo x="0" y="21207"/>
                <wp:lineTo x="20871" y="21207"/>
                <wp:lineTo x="20871" y="0"/>
                <wp:lineTo x="0" y="0"/>
              </wp:wrapPolygon>
            </wp:wrapTight>
            <wp:docPr id="1" name="Picture 1" descr="C:\Users\julia\Downloads\Oratory RC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Oratory RC Primar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A88">
        <w:rPr>
          <w:b/>
          <w:noProof/>
          <w:sz w:val="36"/>
          <w:szCs w:val="36"/>
          <w:lang w:eastAsia="en-GB"/>
        </w:rPr>
        <w:drawing>
          <wp:anchor distT="0" distB="0" distL="114300" distR="114300" simplePos="0" relativeHeight="251659264" behindDoc="1" locked="0" layoutInCell="1" allowOverlap="1" wp14:anchorId="292109A3" wp14:editId="737B72F4">
            <wp:simplePos x="0" y="0"/>
            <wp:positionH relativeFrom="column">
              <wp:posOffset>-626745</wp:posOffset>
            </wp:positionH>
            <wp:positionV relativeFrom="paragraph">
              <wp:posOffset>-568325</wp:posOffset>
            </wp:positionV>
            <wp:extent cx="952500" cy="1272540"/>
            <wp:effectExtent l="0" t="0" r="0" b="3810"/>
            <wp:wrapTight wrapText="bothSides">
              <wp:wrapPolygon edited="0">
                <wp:start x="0" y="0"/>
                <wp:lineTo x="0" y="21341"/>
                <wp:lineTo x="21168" y="21341"/>
                <wp:lineTo x="21168" y="0"/>
                <wp:lineTo x="0" y="0"/>
              </wp:wrapPolygon>
            </wp:wrapTight>
            <wp:docPr id="2" name="Picture 2" descr="Image result for cardinal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dinal new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CA" w:rsidRDefault="00385DCA" w:rsidP="00385DCA">
      <w:pPr>
        <w:jc w:val="center"/>
        <w:rPr>
          <w:rFonts w:ascii="Arial" w:hAnsi="Arial" w:cs="Arial"/>
          <w:i/>
        </w:rPr>
      </w:pPr>
    </w:p>
    <w:p w:rsidR="00385DCA" w:rsidRPr="00385DCA" w:rsidRDefault="00385DCA" w:rsidP="00385DCA">
      <w:pPr>
        <w:jc w:val="center"/>
        <w:rPr>
          <w:rFonts w:ascii="Arial" w:hAnsi="Arial" w:cs="Arial"/>
          <w:i/>
          <w:sz w:val="48"/>
          <w:szCs w:val="48"/>
        </w:rPr>
      </w:pPr>
      <w:r w:rsidRPr="00385DCA">
        <w:rPr>
          <w:rFonts w:ascii="Verdana" w:eastAsia="Times New Roman" w:hAnsi="Verdana"/>
          <w:b/>
          <w:sz w:val="48"/>
          <w:szCs w:val="48"/>
        </w:rPr>
        <w:t>Oratory R.C. Primary and Nursery School</w:t>
      </w:r>
    </w:p>
    <w:p w:rsidR="00385DCA" w:rsidRDefault="00385DCA" w:rsidP="00385DCA">
      <w:pPr>
        <w:jc w:val="center"/>
        <w:rPr>
          <w:rFonts w:ascii="Verdana" w:eastAsia="Times New Roman" w:hAnsi="Verdana"/>
          <w:b/>
          <w:color w:val="A82033"/>
          <w:sz w:val="48"/>
          <w:szCs w:val="48"/>
        </w:rPr>
      </w:pPr>
    </w:p>
    <w:p w:rsidR="00385DCA" w:rsidRPr="00385DCA" w:rsidRDefault="00385DCA" w:rsidP="00385DCA">
      <w:pPr>
        <w:jc w:val="center"/>
        <w:rPr>
          <w:rFonts w:ascii="Verdana" w:eastAsia="Times New Roman" w:hAnsi="Verdana"/>
          <w:b/>
          <w:color w:val="A11F32"/>
          <w:sz w:val="48"/>
          <w:szCs w:val="48"/>
        </w:rPr>
      </w:pPr>
      <w:r w:rsidRPr="00385DCA">
        <w:rPr>
          <w:rFonts w:ascii="Verdana" w:eastAsia="Times New Roman" w:hAnsi="Verdana"/>
          <w:b/>
          <w:color w:val="A82033"/>
          <w:sz w:val="48"/>
          <w:szCs w:val="48"/>
        </w:rPr>
        <w:t>‘Shine as to be a light to others’</w:t>
      </w:r>
    </w:p>
    <w:p w:rsidR="00385DCA" w:rsidRPr="002B7FA1" w:rsidRDefault="00385DCA" w:rsidP="00385DCA">
      <w:pPr>
        <w:jc w:val="center"/>
        <w:rPr>
          <w:rFonts w:asciiTheme="minorHAnsi" w:eastAsia="Times New Roman" w:hAnsiTheme="minorHAnsi" w:cstheme="minorHAnsi"/>
          <w:b/>
          <w:sz w:val="16"/>
          <w:szCs w:val="16"/>
        </w:rPr>
      </w:pPr>
    </w:p>
    <w:p w:rsidR="00385DCA" w:rsidRDefault="00385DCA" w:rsidP="00385DCA">
      <w:pPr>
        <w:jc w:val="center"/>
        <w:rPr>
          <w:rFonts w:asciiTheme="minorHAnsi" w:eastAsia="Times New Roman" w:hAnsiTheme="minorHAnsi" w:cstheme="minorHAnsi"/>
          <w:b/>
          <w:sz w:val="56"/>
          <w:szCs w:val="56"/>
        </w:rPr>
      </w:pPr>
      <w:r w:rsidRPr="002B7FA1">
        <w:rPr>
          <w:rFonts w:asciiTheme="minorHAnsi" w:eastAsia="Times New Roman" w:hAnsiTheme="minorHAnsi" w:cstheme="minorHAnsi"/>
          <w:b/>
          <w:sz w:val="56"/>
          <w:szCs w:val="56"/>
        </w:rPr>
        <w:t xml:space="preserve">Prevent Duty and Anti Radicalisation Policy </w:t>
      </w:r>
    </w:p>
    <w:p w:rsidR="00385DCA" w:rsidRPr="002B7FA1" w:rsidRDefault="00385DCA" w:rsidP="00385DCA">
      <w:pPr>
        <w:jc w:val="center"/>
        <w:rPr>
          <w:rFonts w:asciiTheme="minorHAnsi" w:eastAsia="Times New Roman" w:hAnsiTheme="minorHAnsi" w:cstheme="minorHAnsi"/>
          <w:b/>
          <w:sz w:val="56"/>
          <w:szCs w:val="56"/>
        </w:rPr>
      </w:pPr>
    </w:p>
    <w:tbl>
      <w:tblPr>
        <w:tblStyle w:val="TableGrid1"/>
        <w:tblpPr w:leftFromText="180" w:rightFromText="180" w:vertAnchor="text" w:horzAnchor="margin" w:tblpXSpec="center" w:tblpY="231"/>
        <w:tblW w:w="10881" w:type="dxa"/>
        <w:tblLayout w:type="fixed"/>
        <w:tblLook w:val="04A0" w:firstRow="1" w:lastRow="0" w:firstColumn="1" w:lastColumn="0" w:noHBand="0" w:noVBand="1"/>
      </w:tblPr>
      <w:tblGrid>
        <w:gridCol w:w="1476"/>
        <w:gridCol w:w="1467"/>
        <w:gridCol w:w="2835"/>
        <w:gridCol w:w="1701"/>
        <w:gridCol w:w="1701"/>
        <w:gridCol w:w="1701"/>
      </w:tblGrid>
      <w:tr w:rsidR="00385DCA" w:rsidRPr="00A60B34" w:rsidTr="00385DCA">
        <w:trPr>
          <w:trHeight w:val="496"/>
        </w:trPr>
        <w:tc>
          <w:tcPr>
            <w:tcW w:w="1476" w:type="dxa"/>
          </w:tcPr>
          <w:p w:rsidR="00385DCA" w:rsidRPr="00A60B34" w:rsidRDefault="00385DCA" w:rsidP="00385DCA">
            <w:pPr>
              <w:jc w:val="center"/>
              <w:rPr>
                <w:b/>
                <w:color w:val="C00000"/>
                <w:sz w:val="28"/>
                <w:szCs w:val="28"/>
              </w:rPr>
            </w:pPr>
            <w:r w:rsidRPr="00A60B34">
              <w:rPr>
                <w:b/>
                <w:color w:val="C00000"/>
                <w:sz w:val="28"/>
                <w:szCs w:val="28"/>
              </w:rPr>
              <w:t>Last Review Date of this Policy:</w:t>
            </w:r>
          </w:p>
        </w:tc>
        <w:tc>
          <w:tcPr>
            <w:tcW w:w="1467" w:type="dxa"/>
          </w:tcPr>
          <w:p w:rsidR="00385DCA" w:rsidRPr="00A60B34" w:rsidRDefault="00385DCA" w:rsidP="00385DCA">
            <w:pPr>
              <w:jc w:val="center"/>
              <w:rPr>
                <w:b/>
                <w:color w:val="C00000"/>
                <w:sz w:val="28"/>
                <w:szCs w:val="28"/>
              </w:rPr>
            </w:pPr>
            <w:r w:rsidRPr="00A60B34">
              <w:rPr>
                <w:b/>
                <w:color w:val="C00000"/>
                <w:sz w:val="28"/>
                <w:szCs w:val="28"/>
              </w:rPr>
              <w:t>Date of this Policy:</w:t>
            </w:r>
          </w:p>
        </w:tc>
        <w:tc>
          <w:tcPr>
            <w:tcW w:w="2835" w:type="dxa"/>
          </w:tcPr>
          <w:p w:rsidR="00385DCA" w:rsidRPr="00A60B34" w:rsidRDefault="00385DCA" w:rsidP="00385DCA">
            <w:pPr>
              <w:jc w:val="center"/>
              <w:rPr>
                <w:b/>
                <w:color w:val="C00000"/>
                <w:sz w:val="28"/>
                <w:szCs w:val="28"/>
              </w:rPr>
            </w:pPr>
            <w:r w:rsidRPr="00A60B34">
              <w:rPr>
                <w:b/>
                <w:color w:val="C00000"/>
                <w:sz w:val="28"/>
                <w:szCs w:val="28"/>
              </w:rPr>
              <w:t>Reviewed by:</w:t>
            </w:r>
          </w:p>
          <w:p w:rsidR="00385DCA" w:rsidRPr="00A60B34" w:rsidRDefault="00385DCA" w:rsidP="00385DCA">
            <w:pPr>
              <w:jc w:val="center"/>
              <w:rPr>
                <w:b/>
                <w:color w:val="C00000"/>
                <w:sz w:val="28"/>
                <w:szCs w:val="28"/>
              </w:rPr>
            </w:pPr>
          </w:p>
        </w:tc>
        <w:tc>
          <w:tcPr>
            <w:tcW w:w="1701" w:type="dxa"/>
          </w:tcPr>
          <w:p w:rsidR="00385DCA" w:rsidRPr="00A60B34" w:rsidRDefault="00385DCA" w:rsidP="00385DCA">
            <w:pPr>
              <w:jc w:val="center"/>
              <w:rPr>
                <w:b/>
                <w:color w:val="C00000"/>
                <w:sz w:val="28"/>
                <w:szCs w:val="28"/>
              </w:rPr>
            </w:pPr>
            <w:r w:rsidRPr="00A60B34">
              <w:rPr>
                <w:b/>
                <w:color w:val="C00000"/>
                <w:sz w:val="28"/>
                <w:szCs w:val="28"/>
              </w:rPr>
              <w:t>Date for next review:</w:t>
            </w:r>
          </w:p>
        </w:tc>
        <w:tc>
          <w:tcPr>
            <w:tcW w:w="1701" w:type="dxa"/>
          </w:tcPr>
          <w:p w:rsidR="00385DCA" w:rsidRPr="00A60B34" w:rsidRDefault="00385DCA" w:rsidP="00385DCA">
            <w:pPr>
              <w:jc w:val="center"/>
              <w:rPr>
                <w:b/>
                <w:color w:val="C00000"/>
                <w:sz w:val="28"/>
                <w:szCs w:val="28"/>
              </w:rPr>
            </w:pPr>
            <w:r w:rsidRPr="00A60B34">
              <w:rPr>
                <w:b/>
                <w:color w:val="C00000"/>
                <w:sz w:val="28"/>
                <w:szCs w:val="28"/>
              </w:rPr>
              <w:t>Date to be next ratified by FGB:</w:t>
            </w:r>
          </w:p>
        </w:tc>
        <w:tc>
          <w:tcPr>
            <w:tcW w:w="1701" w:type="dxa"/>
          </w:tcPr>
          <w:p w:rsidR="00385DCA" w:rsidRPr="00A60B34" w:rsidRDefault="00385DCA" w:rsidP="00385DCA">
            <w:pPr>
              <w:jc w:val="center"/>
              <w:rPr>
                <w:b/>
                <w:color w:val="C00000"/>
                <w:sz w:val="28"/>
                <w:szCs w:val="28"/>
              </w:rPr>
            </w:pPr>
            <w:r w:rsidRPr="00A60B34">
              <w:rPr>
                <w:b/>
                <w:color w:val="C00000"/>
                <w:sz w:val="28"/>
                <w:szCs w:val="28"/>
              </w:rPr>
              <w:t>Review Frequency</w:t>
            </w:r>
          </w:p>
        </w:tc>
      </w:tr>
      <w:tr w:rsidR="00385DCA" w:rsidRPr="00A60B34" w:rsidTr="00385DCA">
        <w:trPr>
          <w:trHeight w:val="485"/>
        </w:trPr>
        <w:tc>
          <w:tcPr>
            <w:tcW w:w="1476" w:type="dxa"/>
          </w:tcPr>
          <w:p w:rsidR="00385DCA" w:rsidRPr="00A60B34" w:rsidRDefault="00385DCA" w:rsidP="00385DCA">
            <w:pPr>
              <w:jc w:val="center"/>
              <w:rPr>
                <w:b/>
                <w:sz w:val="28"/>
                <w:szCs w:val="28"/>
              </w:rPr>
            </w:pPr>
            <w:r>
              <w:rPr>
                <w:b/>
                <w:sz w:val="28"/>
                <w:szCs w:val="28"/>
              </w:rPr>
              <w:t>On going</w:t>
            </w:r>
          </w:p>
        </w:tc>
        <w:tc>
          <w:tcPr>
            <w:tcW w:w="1467" w:type="dxa"/>
          </w:tcPr>
          <w:p w:rsidR="00385DCA" w:rsidRPr="00A60B34" w:rsidRDefault="00385DCA" w:rsidP="00385DCA">
            <w:pPr>
              <w:jc w:val="center"/>
              <w:rPr>
                <w:b/>
                <w:sz w:val="24"/>
                <w:szCs w:val="24"/>
              </w:rPr>
            </w:pPr>
            <w:r>
              <w:rPr>
                <w:b/>
                <w:sz w:val="28"/>
                <w:szCs w:val="28"/>
              </w:rPr>
              <w:t>February March 2017</w:t>
            </w:r>
          </w:p>
        </w:tc>
        <w:tc>
          <w:tcPr>
            <w:tcW w:w="2835" w:type="dxa"/>
          </w:tcPr>
          <w:p w:rsidR="00385DCA" w:rsidRPr="00061F19" w:rsidRDefault="00385DCA" w:rsidP="00385DCA">
            <w:pPr>
              <w:numPr>
                <w:ilvl w:val="0"/>
                <w:numId w:val="4"/>
              </w:numPr>
              <w:contextualSpacing/>
              <w:jc w:val="center"/>
              <w:rPr>
                <w:rFonts w:cstheme="minorHAnsi"/>
                <w:b/>
                <w:sz w:val="24"/>
                <w:szCs w:val="24"/>
              </w:rPr>
            </w:pPr>
            <w:r w:rsidRPr="00A60B34">
              <w:rPr>
                <w:rFonts w:eastAsia="Times New Roman" w:cstheme="minorHAnsi"/>
                <w:b/>
                <w:bCs/>
                <w:sz w:val="24"/>
                <w:szCs w:val="24"/>
              </w:rPr>
              <w:t>Safeguarding, Health and</w:t>
            </w:r>
            <w:r>
              <w:rPr>
                <w:rFonts w:eastAsia="Times New Roman" w:cstheme="minorHAnsi"/>
                <w:b/>
                <w:bCs/>
                <w:sz w:val="24"/>
                <w:szCs w:val="24"/>
              </w:rPr>
              <w:t xml:space="preserve"> Safety and Premises Committee</w:t>
            </w:r>
          </w:p>
        </w:tc>
        <w:tc>
          <w:tcPr>
            <w:tcW w:w="1701" w:type="dxa"/>
          </w:tcPr>
          <w:p w:rsidR="00385DCA" w:rsidRPr="00A60B34" w:rsidRDefault="00385DCA" w:rsidP="00385DCA">
            <w:pPr>
              <w:jc w:val="center"/>
              <w:rPr>
                <w:b/>
                <w:sz w:val="28"/>
                <w:szCs w:val="28"/>
              </w:rPr>
            </w:pPr>
            <w:r>
              <w:rPr>
                <w:b/>
                <w:sz w:val="28"/>
                <w:szCs w:val="28"/>
              </w:rPr>
              <w:t>January 2019</w:t>
            </w:r>
          </w:p>
        </w:tc>
        <w:tc>
          <w:tcPr>
            <w:tcW w:w="1701" w:type="dxa"/>
          </w:tcPr>
          <w:p w:rsidR="00385DCA" w:rsidRPr="00A60B34" w:rsidRDefault="00385DCA" w:rsidP="00385DCA">
            <w:pPr>
              <w:jc w:val="center"/>
              <w:rPr>
                <w:b/>
                <w:sz w:val="28"/>
                <w:szCs w:val="28"/>
              </w:rPr>
            </w:pPr>
            <w:r>
              <w:rPr>
                <w:b/>
                <w:sz w:val="28"/>
                <w:szCs w:val="28"/>
              </w:rPr>
              <w:t>March 2019</w:t>
            </w:r>
          </w:p>
        </w:tc>
        <w:tc>
          <w:tcPr>
            <w:tcW w:w="1701" w:type="dxa"/>
          </w:tcPr>
          <w:p w:rsidR="00385DCA" w:rsidRPr="00A60B34" w:rsidRDefault="00385DCA" w:rsidP="00385DCA">
            <w:pPr>
              <w:jc w:val="center"/>
              <w:rPr>
                <w:b/>
                <w:sz w:val="28"/>
                <w:szCs w:val="28"/>
              </w:rPr>
            </w:pPr>
            <w:r>
              <w:rPr>
                <w:b/>
                <w:sz w:val="28"/>
                <w:szCs w:val="28"/>
              </w:rPr>
              <w:t>Within 2 years</w:t>
            </w:r>
          </w:p>
        </w:tc>
      </w:tr>
      <w:tr w:rsidR="00385DCA" w:rsidRPr="00A60B34" w:rsidTr="00385DCA">
        <w:trPr>
          <w:trHeight w:val="749"/>
        </w:trPr>
        <w:tc>
          <w:tcPr>
            <w:tcW w:w="2943" w:type="dxa"/>
            <w:gridSpan w:val="2"/>
          </w:tcPr>
          <w:p w:rsidR="00385DCA" w:rsidRPr="00A60B34" w:rsidRDefault="00385DCA" w:rsidP="00385DCA">
            <w:pPr>
              <w:jc w:val="center"/>
              <w:rPr>
                <w:b/>
                <w:sz w:val="28"/>
                <w:szCs w:val="28"/>
              </w:rPr>
            </w:pPr>
            <w:r w:rsidRPr="00A60B34">
              <w:rPr>
                <w:b/>
                <w:color w:val="C00000"/>
                <w:sz w:val="28"/>
                <w:szCs w:val="28"/>
              </w:rPr>
              <w:t>How will Governors assure the Oratory community that this policy is being implemented:</w:t>
            </w:r>
          </w:p>
        </w:tc>
        <w:tc>
          <w:tcPr>
            <w:tcW w:w="7938" w:type="dxa"/>
            <w:gridSpan w:val="4"/>
          </w:tcPr>
          <w:p w:rsidR="00385DCA" w:rsidRPr="00A60B34" w:rsidRDefault="00385DCA" w:rsidP="00385DCA">
            <w:pPr>
              <w:jc w:val="center"/>
              <w:rPr>
                <w:b/>
                <w:sz w:val="24"/>
                <w:szCs w:val="24"/>
              </w:rPr>
            </w:pPr>
            <w:r w:rsidRPr="00A60B34">
              <w:rPr>
                <w:b/>
                <w:sz w:val="24"/>
                <w:szCs w:val="24"/>
              </w:rPr>
              <w:t>Governors to monitor and evaluate implementation through:</w:t>
            </w:r>
          </w:p>
          <w:p w:rsidR="00385DCA" w:rsidRPr="00A60B34" w:rsidRDefault="00385DCA" w:rsidP="00385DCA">
            <w:pPr>
              <w:numPr>
                <w:ilvl w:val="0"/>
                <w:numId w:val="5"/>
              </w:numPr>
              <w:contextualSpacing/>
              <w:jc w:val="center"/>
              <w:rPr>
                <w:sz w:val="24"/>
                <w:szCs w:val="24"/>
              </w:rPr>
            </w:pPr>
            <w:r w:rsidRPr="00A60B34">
              <w:rPr>
                <w:sz w:val="24"/>
                <w:szCs w:val="24"/>
              </w:rPr>
              <w:t>Nominated Governor Safeguarding visits to the school</w:t>
            </w:r>
          </w:p>
          <w:p w:rsidR="00385DCA" w:rsidRPr="00A60B34" w:rsidRDefault="00385DCA" w:rsidP="00385DCA">
            <w:pPr>
              <w:numPr>
                <w:ilvl w:val="0"/>
                <w:numId w:val="5"/>
              </w:numPr>
              <w:contextualSpacing/>
              <w:jc w:val="center"/>
              <w:rPr>
                <w:sz w:val="24"/>
                <w:szCs w:val="24"/>
              </w:rPr>
            </w:pPr>
            <w:r w:rsidRPr="00A60B34">
              <w:rPr>
                <w:sz w:val="24"/>
                <w:szCs w:val="24"/>
              </w:rPr>
              <w:t>Safeguarding Team minutes</w:t>
            </w:r>
          </w:p>
          <w:p w:rsidR="00385DCA" w:rsidRPr="00A60B34" w:rsidRDefault="00385DCA" w:rsidP="00385DCA">
            <w:pPr>
              <w:numPr>
                <w:ilvl w:val="0"/>
                <w:numId w:val="4"/>
              </w:numPr>
              <w:contextualSpacing/>
              <w:jc w:val="center"/>
              <w:rPr>
                <w:rFonts w:cstheme="minorHAnsi"/>
                <w:sz w:val="24"/>
                <w:szCs w:val="24"/>
              </w:rPr>
            </w:pPr>
            <w:r w:rsidRPr="00A60B34">
              <w:rPr>
                <w:sz w:val="24"/>
                <w:szCs w:val="24"/>
              </w:rPr>
              <w:t xml:space="preserve">Safeguarding Team Termly Report to </w:t>
            </w:r>
            <w:r w:rsidRPr="00A60B34">
              <w:rPr>
                <w:rFonts w:eastAsia="Times New Roman" w:cstheme="minorHAnsi"/>
                <w:bCs/>
                <w:sz w:val="24"/>
                <w:szCs w:val="24"/>
              </w:rPr>
              <w:t>Safeguarding, Health and Safety and Premises Committee</w:t>
            </w:r>
          </w:p>
          <w:p w:rsidR="00385DCA" w:rsidRPr="00A60B34" w:rsidRDefault="00385DCA" w:rsidP="00385DCA">
            <w:pPr>
              <w:numPr>
                <w:ilvl w:val="0"/>
                <w:numId w:val="4"/>
              </w:numPr>
              <w:contextualSpacing/>
              <w:jc w:val="center"/>
              <w:rPr>
                <w:rFonts w:cstheme="minorHAnsi"/>
                <w:sz w:val="24"/>
                <w:szCs w:val="24"/>
              </w:rPr>
            </w:pPr>
            <w:r w:rsidRPr="00A60B34">
              <w:rPr>
                <w:rFonts w:eastAsia="Times New Roman" w:cstheme="minorHAnsi"/>
                <w:bCs/>
                <w:sz w:val="24"/>
                <w:szCs w:val="24"/>
              </w:rPr>
              <w:t>HT’s Report to Governors</w:t>
            </w:r>
            <w:r>
              <w:rPr>
                <w:rFonts w:eastAsia="Times New Roman" w:cstheme="minorHAnsi"/>
                <w:bCs/>
                <w:sz w:val="24"/>
                <w:szCs w:val="24"/>
              </w:rPr>
              <w:t xml:space="preserve"> / FGB</w:t>
            </w:r>
          </w:p>
        </w:tc>
      </w:tr>
    </w:tbl>
    <w:p w:rsidR="00385DCA" w:rsidRPr="00A60B34" w:rsidRDefault="00385DCA" w:rsidP="00385DCA">
      <w:pPr>
        <w:tabs>
          <w:tab w:val="left" w:pos="720"/>
          <w:tab w:val="left" w:pos="1440"/>
          <w:tab w:val="left" w:pos="2160"/>
          <w:tab w:val="left" w:pos="2880"/>
          <w:tab w:val="left" w:pos="3600"/>
          <w:tab w:val="left" w:pos="4320"/>
          <w:tab w:val="left" w:pos="5040"/>
          <w:tab w:val="left" w:pos="5445"/>
        </w:tabs>
        <w:rPr>
          <w:rFonts w:ascii="Verdana" w:eastAsia="Times New Roman" w:hAnsi="Verdana"/>
          <w:b/>
          <w:bCs/>
          <w:sz w:val="32"/>
          <w:szCs w:val="32"/>
        </w:rPr>
      </w:pPr>
    </w:p>
    <w:p w:rsidR="00385DCA" w:rsidRPr="00A60B34" w:rsidRDefault="00385DCA" w:rsidP="00385DCA">
      <w:pPr>
        <w:rPr>
          <w:rFonts w:asciiTheme="minorHAnsi" w:eastAsia="Times New Roman" w:hAnsiTheme="minorHAnsi" w:cstheme="minorHAnsi"/>
          <w:b/>
          <w:lang w:eastAsia="en-GB"/>
        </w:rPr>
      </w:pPr>
    </w:p>
    <w:p w:rsidR="00385DCA" w:rsidRPr="00A60B34" w:rsidRDefault="00385DCA" w:rsidP="00385DCA">
      <w:pPr>
        <w:rPr>
          <w:rFonts w:asciiTheme="minorHAnsi" w:eastAsia="Times New Roman" w:hAnsiTheme="minorHAnsi" w:cstheme="minorHAnsi"/>
          <w:b/>
          <w:lang w:eastAsia="en-GB"/>
        </w:rPr>
      </w:pPr>
    </w:p>
    <w:p w:rsidR="00385DCA" w:rsidRPr="00A60B34" w:rsidRDefault="00385DCA" w:rsidP="00385DCA">
      <w:pPr>
        <w:rPr>
          <w:rFonts w:asciiTheme="minorHAnsi" w:eastAsia="Times New Roman" w:hAnsiTheme="minorHAnsi" w:cstheme="minorHAnsi"/>
          <w:b/>
          <w:lang w:eastAsia="en-GB"/>
        </w:rPr>
      </w:pPr>
    </w:p>
    <w:p w:rsidR="00385DCA" w:rsidRDefault="00385DCA" w:rsidP="00385DCA">
      <w:pPr>
        <w:jc w:val="center"/>
        <w:rPr>
          <w:rFonts w:ascii="Arial" w:hAnsi="Arial" w:cs="Arial"/>
          <w:i/>
        </w:rPr>
      </w:pPr>
    </w:p>
    <w:p w:rsidR="00385DCA" w:rsidRDefault="00385DCA" w:rsidP="00385DCA">
      <w:pPr>
        <w:jc w:val="center"/>
        <w:rPr>
          <w:rFonts w:ascii="Arial" w:hAnsi="Arial" w:cs="Arial"/>
          <w:i/>
        </w:rPr>
      </w:pPr>
    </w:p>
    <w:p w:rsidR="00385DCA" w:rsidRDefault="00385DCA" w:rsidP="00385DCA">
      <w:pPr>
        <w:jc w:val="center"/>
        <w:rPr>
          <w:rFonts w:ascii="Arial" w:hAnsi="Arial" w:cs="Arial"/>
          <w:i/>
        </w:rPr>
      </w:pPr>
    </w:p>
    <w:p w:rsidR="00385DCA" w:rsidRDefault="00385DCA" w:rsidP="00385DCA">
      <w:pPr>
        <w:jc w:val="center"/>
        <w:rPr>
          <w:rFonts w:ascii="Arial" w:hAnsi="Arial" w:cs="Arial"/>
          <w:i/>
        </w:rPr>
      </w:pPr>
    </w:p>
    <w:p w:rsidR="00385DCA" w:rsidRDefault="00385DCA" w:rsidP="00385DCA">
      <w:pPr>
        <w:rPr>
          <w:rFonts w:ascii="Arial" w:hAnsi="Arial" w:cs="Arial"/>
          <w:i/>
        </w:rPr>
      </w:pPr>
    </w:p>
    <w:p w:rsidR="00385DCA" w:rsidRDefault="00385DCA" w:rsidP="00385DCA">
      <w:pPr>
        <w:rPr>
          <w:rFonts w:ascii="Arial" w:hAnsi="Arial" w:cs="Arial"/>
          <w:i/>
        </w:rPr>
      </w:pPr>
    </w:p>
    <w:p w:rsidR="00385DCA" w:rsidRDefault="00385DCA" w:rsidP="00385DCA"/>
    <w:p w:rsidR="00385DCA" w:rsidRDefault="00385DCA" w:rsidP="00385DCA"/>
    <w:p w:rsidR="00385DCA" w:rsidRDefault="00385DCA" w:rsidP="00385DCA"/>
    <w:p w:rsidR="00385DCA" w:rsidRDefault="00385DCA" w:rsidP="00385DCA"/>
    <w:p w:rsidR="00385DCA" w:rsidRDefault="00385DCA" w:rsidP="00385DCA"/>
    <w:p w:rsidR="00385DCA" w:rsidRDefault="00385DCA" w:rsidP="00385DCA"/>
    <w:p w:rsidR="00385DCA" w:rsidRPr="00385DCA" w:rsidRDefault="00385DCA" w:rsidP="00385DCA">
      <w:pPr>
        <w:rPr>
          <w:rFonts w:ascii="Calibri" w:hAnsi="Calibri" w:cs="Calibri"/>
        </w:rPr>
      </w:pPr>
    </w:p>
    <w:p w:rsidR="005B2EA9" w:rsidRPr="00385DCA" w:rsidRDefault="00385DCA">
      <w:pPr>
        <w:pStyle w:val="Body"/>
        <w:jc w:val="center"/>
        <w:rPr>
          <w:rFonts w:ascii="Calibri" w:hAnsi="Calibri" w:cs="Calibri"/>
          <w:b/>
          <w:sz w:val="32"/>
          <w:szCs w:val="32"/>
          <w:u w:val="single"/>
        </w:rPr>
      </w:pPr>
      <w:r>
        <w:rPr>
          <w:rFonts w:ascii="Calibri" w:hAnsi="Calibri" w:cs="Calibri"/>
          <w:b/>
          <w:sz w:val="32"/>
          <w:szCs w:val="32"/>
          <w:u w:val="single"/>
        </w:rPr>
        <w:t>Prevent Duty and Anti-R</w:t>
      </w:r>
      <w:r w:rsidRPr="00385DCA">
        <w:rPr>
          <w:rFonts w:ascii="Calibri" w:hAnsi="Calibri" w:cs="Calibri"/>
          <w:b/>
          <w:sz w:val="32"/>
          <w:szCs w:val="32"/>
          <w:u w:val="single"/>
        </w:rPr>
        <w:t>adicalisation Policy</w:t>
      </w:r>
    </w:p>
    <w:p w:rsidR="005B2EA9" w:rsidRPr="00385DCA" w:rsidRDefault="005B2EA9">
      <w:pPr>
        <w:pStyle w:val="Body"/>
        <w:rPr>
          <w:rFonts w:ascii="Calibri" w:hAnsi="Calibri" w:cs="Calibri"/>
          <w:sz w:val="24"/>
          <w:szCs w:val="24"/>
        </w:rPr>
      </w:pPr>
    </w:p>
    <w:p w:rsidR="005B2EA9" w:rsidRPr="00385DCA" w:rsidRDefault="00385DCA">
      <w:pPr>
        <w:pStyle w:val="Body"/>
        <w:rPr>
          <w:rFonts w:ascii="Calibri" w:hAnsi="Calibri" w:cs="Calibri"/>
          <w:b/>
          <w:sz w:val="24"/>
          <w:szCs w:val="24"/>
          <w:u w:val="single"/>
        </w:rPr>
      </w:pPr>
      <w:r w:rsidRPr="00385DCA">
        <w:rPr>
          <w:rFonts w:ascii="Calibri" w:hAnsi="Calibri" w:cs="Calibri"/>
          <w:b/>
          <w:sz w:val="24"/>
          <w:szCs w:val="24"/>
          <w:u w:val="single"/>
        </w:rPr>
        <w:t>Contents</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Our School’s Mission</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Our School’s Vision</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Safeguarding duty</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The Prevent Duty</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Fundamental British values</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Our School’s context and culture</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Anti-radicalisation policy</w:t>
      </w:r>
    </w:p>
    <w:p w:rsidR="005B2EA9" w:rsidRPr="00385DCA" w:rsidRDefault="00385DCA">
      <w:pPr>
        <w:pStyle w:val="Body"/>
        <w:numPr>
          <w:ilvl w:val="0"/>
          <w:numId w:val="2"/>
        </w:numPr>
        <w:rPr>
          <w:rFonts w:ascii="Calibri" w:hAnsi="Calibri" w:cs="Calibri"/>
          <w:sz w:val="24"/>
          <w:szCs w:val="24"/>
        </w:rPr>
      </w:pPr>
      <w:r w:rsidRPr="00385DCA">
        <w:rPr>
          <w:rFonts w:ascii="Calibri" w:hAnsi="Calibri" w:cs="Calibri"/>
          <w:sz w:val="24"/>
          <w:szCs w:val="24"/>
        </w:rPr>
        <w:t>Review and amendment</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3"/>
        </w:numPr>
        <w:rPr>
          <w:rFonts w:ascii="Calibri" w:hAnsi="Calibri" w:cs="Calibri"/>
          <w:b/>
          <w:sz w:val="24"/>
          <w:szCs w:val="24"/>
          <w:u w:val="single"/>
        </w:rPr>
      </w:pPr>
      <w:r w:rsidRPr="00385DCA">
        <w:rPr>
          <w:rFonts w:ascii="Calibri" w:hAnsi="Calibri" w:cs="Calibri"/>
          <w:b/>
          <w:sz w:val="24"/>
          <w:szCs w:val="24"/>
          <w:u w:val="single"/>
        </w:rPr>
        <w:t xml:space="preserve">Our School’s </w:t>
      </w:r>
      <w:r w:rsidRPr="00385DCA">
        <w:rPr>
          <w:rFonts w:ascii="Calibri" w:hAnsi="Calibri" w:cs="Calibri"/>
          <w:b/>
          <w:sz w:val="24"/>
          <w:szCs w:val="24"/>
          <w:u w:val="single"/>
        </w:rPr>
        <w:t>Mission</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1.1 At the Oratory Roman Catholic Primary and Nursery School (“our School”) every aspect of school life is founded on Gospel Values. Our choice of Mission Statement, “Shine as to be a light to others”, is inspired by the writing and teaching of th</w:t>
      </w:r>
      <w:r w:rsidRPr="00385DCA">
        <w:rPr>
          <w:rFonts w:ascii="Calibri" w:hAnsi="Calibri" w:cs="Calibri"/>
          <w:sz w:val="24"/>
          <w:szCs w:val="24"/>
        </w:rPr>
        <w:t xml:space="preserve">e Blessed John Henry Newman, an advocate of </w:t>
      </w:r>
      <w:proofErr w:type="spellStart"/>
      <w:r w:rsidRPr="00385DCA">
        <w:rPr>
          <w:rFonts w:ascii="Calibri" w:hAnsi="Calibri" w:cs="Calibri"/>
          <w:sz w:val="24"/>
          <w:szCs w:val="24"/>
        </w:rPr>
        <w:t>personalised</w:t>
      </w:r>
      <w:proofErr w:type="spellEnd"/>
      <w:r w:rsidRPr="00385DCA">
        <w:rPr>
          <w:rFonts w:ascii="Calibri" w:hAnsi="Calibri" w:cs="Calibri"/>
          <w:sz w:val="24"/>
          <w:szCs w:val="24"/>
        </w:rPr>
        <w:t xml:space="preserve"> learning, and of Saint Philip </w:t>
      </w:r>
      <w:proofErr w:type="spellStart"/>
      <w:r w:rsidRPr="00385DCA">
        <w:rPr>
          <w:rFonts w:ascii="Calibri" w:hAnsi="Calibri" w:cs="Calibri"/>
          <w:sz w:val="24"/>
          <w:szCs w:val="24"/>
        </w:rPr>
        <w:t>Neri</w:t>
      </w:r>
      <w:proofErr w:type="spellEnd"/>
      <w:r w:rsidRPr="00385DCA">
        <w:rPr>
          <w:rFonts w:ascii="Calibri" w:hAnsi="Calibri" w:cs="Calibri"/>
          <w:sz w:val="24"/>
          <w:szCs w:val="24"/>
        </w:rPr>
        <w:t>, who believed that “cheerfulness strengthens the heart and makes us persevere in a good life; therefore the servant of God ought always to be in good spirits.”</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1.2</w:t>
      </w:r>
      <w:r w:rsidRPr="00385DCA">
        <w:rPr>
          <w:rFonts w:ascii="Calibri" w:hAnsi="Calibri" w:cs="Calibri"/>
          <w:sz w:val="24"/>
          <w:szCs w:val="24"/>
        </w:rPr>
        <w:t xml:space="preserve"> We are committed to providing a safe, nurturing and happy immersive learning environment, based upon the living tradition of the Church, drawing continually upon current educational research.</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1.3 Our School prepares children to meet the opportunities and</w:t>
      </w:r>
      <w:r w:rsidRPr="00385DCA">
        <w:rPr>
          <w:rFonts w:ascii="Calibri" w:hAnsi="Calibri" w:cs="Calibri"/>
          <w:sz w:val="24"/>
          <w:szCs w:val="24"/>
        </w:rPr>
        <w:t xml:space="preserve"> challenges of life in contemporary Britain through an innovative curriculum that is tailored to meet the needs of all.</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1.4 A community of lifelong learners, our School and Governing Body work in close partnership with: our families, the Fathers and Broth</w:t>
      </w:r>
      <w:r w:rsidRPr="00385DCA">
        <w:rPr>
          <w:rFonts w:ascii="Calibri" w:hAnsi="Calibri" w:cs="Calibri"/>
          <w:sz w:val="24"/>
          <w:szCs w:val="24"/>
        </w:rPr>
        <w:t xml:space="preserve">ers of the Oratory, our local parish, the local and wider community, and external consultants. We work together to enable all to </w:t>
      </w:r>
      <w:proofErr w:type="spellStart"/>
      <w:r w:rsidRPr="00385DCA">
        <w:rPr>
          <w:rFonts w:ascii="Calibri" w:hAnsi="Calibri" w:cs="Calibri"/>
          <w:sz w:val="24"/>
          <w:szCs w:val="24"/>
        </w:rPr>
        <w:t>fulfil</w:t>
      </w:r>
      <w:proofErr w:type="spellEnd"/>
      <w:r w:rsidRPr="00385DCA">
        <w:rPr>
          <w:rFonts w:ascii="Calibri" w:hAnsi="Calibri" w:cs="Calibri"/>
          <w:sz w:val="24"/>
          <w:szCs w:val="24"/>
        </w:rPr>
        <w:t xml:space="preserve"> their spiritual, academic, emotional and social potential. We are a team, and together we make a difference.</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Our Schoo</w:t>
      </w:r>
      <w:r w:rsidRPr="00385DCA">
        <w:rPr>
          <w:rFonts w:ascii="Calibri" w:hAnsi="Calibri" w:cs="Calibri"/>
          <w:b/>
          <w:sz w:val="24"/>
          <w:szCs w:val="24"/>
          <w:u w:val="single"/>
        </w:rPr>
        <w:t>l’s Vision</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2.1 Christ is at the </w:t>
      </w:r>
      <w:proofErr w:type="spellStart"/>
      <w:r w:rsidRPr="00385DCA">
        <w:rPr>
          <w:rFonts w:ascii="Calibri" w:hAnsi="Calibri" w:cs="Calibri"/>
          <w:sz w:val="24"/>
          <w:szCs w:val="24"/>
        </w:rPr>
        <w:t>centre</w:t>
      </w:r>
      <w:proofErr w:type="spellEnd"/>
      <w:r w:rsidRPr="00385DCA">
        <w:rPr>
          <w:rFonts w:ascii="Calibri" w:hAnsi="Calibri" w:cs="Calibri"/>
          <w:sz w:val="24"/>
          <w:szCs w:val="24"/>
        </w:rPr>
        <w:t xml:space="preserve"> of all we do.</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2.2 Our School is a learning community for all: pupils, staff, governors, parents and </w:t>
      </w:r>
      <w:proofErr w:type="spellStart"/>
      <w:r w:rsidRPr="00385DCA">
        <w:rPr>
          <w:rFonts w:ascii="Calibri" w:hAnsi="Calibri" w:cs="Calibri"/>
          <w:sz w:val="24"/>
          <w:szCs w:val="24"/>
        </w:rPr>
        <w:t>carers</w:t>
      </w:r>
      <w:proofErr w:type="spellEnd"/>
      <w:r w:rsidRPr="00385DCA">
        <w:rPr>
          <w:rFonts w:ascii="Calibri" w:hAnsi="Calibri" w:cs="Calibri"/>
          <w:sz w:val="24"/>
          <w:szCs w:val="24"/>
        </w:rPr>
        <w:t>, outside agencies, and the local and wider community.</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2.3 Ours is a strong culture of unconditional support</w:t>
      </w:r>
      <w:r w:rsidRPr="00385DCA">
        <w:rPr>
          <w:rFonts w:ascii="Calibri" w:hAnsi="Calibri" w:cs="Calibri"/>
          <w:sz w:val="24"/>
          <w:szCs w:val="24"/>
        </w:rPr>
        <w:t xml:space="preserve"> for one another’s learning, where all listen respectfully and welcome constructive criticism and challenge.</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2.4 We offer a vibrant and exciting curriculum and learning experience, ensuring that all pupils, from whatever point they start on entering our S</w:t>
      </w:r>
      <w:r w:rsidRPr="00385DCA">
        <w:rPr>
          <w:rFonts w:ascii="Calibri" w:hAnsi="Calibri" w:cs="Calibri"/>
          <w:sz w:val="24"/>
          <w:szCs w:val="24"/>
        </w:rPr>
        <w:t>chool, make at least good progress.</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2.5 We aim to help our pupils discover and develop their God-given talents and to encourage them to grow in responsibility for themselves and for others.</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2.6 We believe that everyone has a right to equal access and opp</w:t>
      </w:r>
      <w:r w:rsidRPr="00385DCA">
        <w:rPr>
          <w:rFonts w:ascii="Calibri" w:hAnsi="Calibri" w:cs="Calibri"/>
          <w:sz w:val="24"/>
          <w:szCs w:val="24"/>
        </w:rPr>
        <w:t>ortunity, and equal freedom to work and learn, and freedom from unjust discrimination and from prejudice.</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2.7 Our practices promote the right of all to participate in school life by actively promoting equality and social inclusion without distinction of c</w:t>
      </w:r>
      <w:r w:rsidRPr="00385DCA">
        <w:rPr>
          <w:rFonts w:ascii="Calibri" w:hAnsi="Calibri" w:cs="Calibri"/>
          <w:sz w:val="24"/>
          <w:szCs w:val="24"/>
        </w:rPr>
        <w:t>ulture, religion, language, ethnic background or race.</w:t>
      </w:r>
    </w:p>
    <w:p w:rsidR="005B2EA9" w:rsidRPr="00385DCA" w:rsidRDefault="005B2EA9">
      <w:pPr>
        <w:pStyle w:val="Body"/>
        <w:jc w:val="both"/>
        <w:rPr>
          <w:rFonts w:ascii="Calibri" w:hAnsi="Calibri" w:cs="Calibri"/>
          <w:sz w:val="24"/>
          <w:szCs w:val="24"/>
        </w:rPr>
      </w:pPr>
    </w:p>
    <w:p w:rsidR="005B2EA9" w:rsidRPr="00385DCA" w:rsidRDefault="005B2EA9">
      <w:pPr>
        <w:pStyle w:val="Body"/>
        <w:jc w:val="both"/>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Safeguarding duty</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3.1 Our School aims to secure for each child the best spiritual and educational provision; we </w:t>
      </w:r>
      <w:proofErr w:type="spellStart"/>
      <w:r w:rsidRPr="00385DCA">
        <w:rPr>
          <w:rFonts w:ascii="Calibri" w:hAnsi="Calibri" w:cs="Calibri"/>
          <w:sz w:val="24"/>
          <w:szCs w:val="24"/>
        </w:rPr>
        <w:t>recognise</w:t>
      </w:r>
      <w:proofErr w:type="spellEnd"/>
      <w:r w:rsidRPr="00385DCA">
        <w:rPr>
          <w:rFonts w:ascii="Calibri" w:hAnsi="Calibri" w:cs="Calibri"/>
          <w:sz w:val="24"/>
          <w:szCs w:val="24"/>
        </w:rPr>
        <w:t xml:space="preserve"> that the safety, welfare and care of the children are paramount.</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3.2 We are</w:t>
      </w:r>
      <w:r w:rsidRPr="00385DCA">
        <w:rPr>
          <w:rFonts w:ascii="Calibri" w:hAnsi="Calibri" w:cs="Calibri"/>
          <w:sz w:val="24"/>
          <w:szCs w:val="24"/>
        </w:rPr>
        <w:t xml:space="preserve"> committed to maintaining at all times the highest standards in protecting and safeguarding the children entrusted to our care.</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3.3 We </w:t>
      </w:r>
      <w:proofErr w:type="spellStart"/>
      <w:r w:rsidRPr="00385DCA">
        <w:rPr>
          <w:rFonts w:ascii="Calibri" w:hAnsi="Calibri" w:cs="Calibri"/>
          <w:sz w:val="24"/>
          <w:szCs w:val="24"/>
        </w:rPr>
        <w:t>recognise</w:t>
      </w:r>
      <w:proofErr w:type="spellEnd"/>
      <w:r w:rsidRPr="00385DCA">
        <w:rPr>
          <w:rFonts w:ascii="Calibri" w:hAnsi="Calibri" w:cs="Calibri"/>
          <w:sz w:val="24"/>
          <w:szCs w:val="24"/>
        </w:rPr>
        <w:t xml:space="preserve"> our responsibility to safeguard all who come to our School and to promote the welfare of all our pupils by pro</w:t>
      </w:r>
      <w:r w:rsidRPr="00385DCA">
        <w:rPr>
          <w:rFonts w:ascii="Calibri" w:hAnsi="Calibri" w:cs="Calibri"/>
          <w:sz w:val="24"/>
          <w:szCs w:val="24"/>
        </w:rPr>
        <w:t>tecting them from physical, sexual and emotional abuse, neglect and bullying.</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3.4 Our School is committed to safeguarding and promoting the welfare of all our children. We </w:t>
      </w:r>
      <w:proofErr w:type="spellStart"/>
      <w:r w:rsidRPr="00385DCA">
        <w:rPr>
          <w:rFonts w:ascii="Calibri" w:hAnsi="Calibri" w:cs="Calibri"/>
          <w:sz w:val="24"/>
          <w:szCs w:val="24"/>
        </w:rPr>
        <w:t>recognise</w:t>
      </w:r>
      <w:proofErr w:type="spellEnd"/>
      <w:r w:rsidRPr="00385DCA">
        <w:rPr>
          <w:rFonts w:ascii="Calibri" w:hAnsi="Calibri" w:cs="Calibri"/>
          <w:sz w:val="24"/>
          <w:szCs w:val="24"/>
        </w:rPr>
        <w:t xml:space="preserve"> that safeguarding against radicalisation is as necessary as safeguarding </w:t>
      </w:r>
      <w:r w:rsidRPr="00385DCA">
        <w:rPr>
          <w:rFonts w:ascii="Calibri" w:hAnsi="Calibri" w:cs="Calibri"/>
          <w:sz w:val="24"/>
          <w:szCs w:val="24"/>
        </w:rPr>
        <w:t>against any other vulnerability. We aim to build up our children’s resilience against radicalisation through our strong Catholic ethos and an education based on Gospel values, by encouraging critical thinking and discussion, and by our enthusiasm for knowl</w:t>
      </w:r>
      <w:r w:rsidRPr="00385DCA">
        <w:rPr>
          <w:rFonts w:ascii="Calibri" w:hAnsi="Calibri" w:cs="Calibri"/>
          <w:sz w:val="24"/>
          <w:szCs w:val="24"/>
        </w:rPr>
        <w:t>edge.</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The Prevent Duty</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4.1 Since 1 July 2015, all schools have been subject to a legal duty to have “due regard to the need to prevent people from being drawn into terrorism”. This duty is contained in Section 26 of the Counter-terrorism and Security Ac</w:t>
      </w:r>
      <w:r w:rsidRPr="00385DCA">
        <w:rPr>
          <w:rFonts w:ascii="Calibri" w:hAnsi="Calibri" w:cs="Calibri"/>
          <w:sz w:val="24"/>
          <w:szCs w:val="24"/>
        </w:rPr>
        <w:t>t 2015, and is known as the “Prevent Duty”.</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proofErr w:type="gramStart"/>
      <w:r w:rsidRPr="00385DCA">
        <w:rPr>
          <w:rFonts w:ascii="Calibri" w:hAnsi="Calibri" w:cs="Calibri"/>
          <w:sz w:val="24"/>
          <w:szCs w:val="24"/>
        </w:rPr>
        <w:t>4.2  “</w:t>
      </w:r>
      <w:proofErr w:type="gramEnd"/>
      <w:r w:rsidRPr="00385DCA">
        <w:rPr>
          <w:rFonts w:ascii="Calibri" w:hAnsi="Calibri" w:cs="Calibri"/>
          <w:sz w:val="24"/>
          <w:szCs w:val="24"/>
        </w:rPr>
        <w:t xml:space="preserve">Terrorism” is defined by Section 1 of the Terrorism Act 2000 as the “use or threat of action” which involves serious violence to people, or serious damage to property, or which endangers the life or </w:t>
      </w:r>
      <w:r w:rsidRPr="00385DCA">
        <w:rPr>
          <w:rFonts w:ascii="Calibri" w:hAnsi="Calibri" w:cs="Calibri"/>
          <w:sz w:val="24"/>
          <w:szCs w:val="24"/>
        </w:rPr>
        <w:t>seriously risks the health and safety of people, or is designed seriously to interfere with or disrupt an electronic system. In order to qualify as terrorism, such action or threat of action must be intended to influence government or intimidate the public</w:t>
      </w:r>
      <w:r w:rsidRPr="00385DCA">
        <w:rPr>
          <w:rFonts w:ascii="Calibri" w:hAnsi="Calibri" w:cs="Calibri"/>
          <w:sz w:val="24"/>
          <w:szCs w:val="24"/>
        </w:rPr>
        <w:t>, and must be done for the purposes of advancing a political, religious or ideological cause.</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4.3 According to statutory Prevent Duty Guidance, “having due regard” means placing an appropriate amount of weight on the need to prevent people being drawn int</w:t>
      </w:r>
      <w:r w:rsidRPr="00385DCA">
        <w:rPr>
          <w:rFonts w:ascii="Calibri" w:hAnsi="Calibri" w:cs="Calibri"/>
          <w:sz w:val="24"/>
          <w:szCs w:val="24"/>
        </w:rPr>
        <w:t>o terrorism, considering all the other factors relevant to how we in our School carry out our usual functions.</w:t>
      </w:r>
      <w:r w:rsidRPr="00385DCA">
        <w:rPr>
          <w:rFonts w:ascii="Calibri" w:hAnsi="Calibri" w:cs="Calibri"/>
          <w:sz w:val="24"/>
          <w:szCs w:val="24"/>
          <w:vertAlign w:val="superscript"/>
        </w:rPr>
        <w:footnoteReference w:id="2"/>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lastRenderedPageBreak/>
        <w:t>4.4 According to statutory Prevent Duty Guidance, “being drawn into terrorism includes not just violent extremism but also non-violent extremis</w:t>
      </w:r>
      <w:r w:rsidRPr="00385DCA">
        <w:rPr>
          <w:rFonts w:ascii="Calibri" w:hAnsi="Calibri" w:cs="Calibri"/>
          <w:sz w:val="24"/>
          <w:szCs w:val="24"/>
        </w:rPr>
        <w:t xml:space="preserve">m, which can create an atmosphere conducive to terrorism and can </w:t>
      </w:r>
      <w:proofErr w:type="spellStart"/>
      <w:r w:rsidRPr="00385DCA">
        <w:rPr>
          <w:rFonts w:ascii="Calibri" w:hAnsi="Calibri" w:cs="Calibri"/>
          <w:sz w:val="24"/>
          <w:szCs w:val="24"/>
        </w:rPr>
        <w:t>popularise</w:t>
      </w:r>
      <w:proofErr w:type="spellEnd"/>
      <w:r w:rsidRPr="00385DCA">
        <w:rPr>
          <w:rFonts w:ascii="Calibri" w:hAnsi="Calibri" w:cs="Calibri"/>
          <w:sz w:val="24"/>
          <w:szCs w:val="24"/>
        </w:rPr>
        <w:t xml:space="preserve"> views which terrorists exploit.”</w:t>
      </w:r>
      <w:r w:rsidRPr="00385DCA">
        <w:rPr>
          <w:rFonts w:ascii="Calibri" w:hAnsi="Calibri" w:cs="Calibri"/>
          <w:sz w:val="24"/>
          <w:szCs w:val="24"/>
          <w:vertAlign w:val="superscript"/>
        </w:rPr>
        <w:footnoteReference w:id="3"/>
      </w:r>
      <w:r w:rsidRPr="00385DCA">
        <w:rPr>
          <w:rFonts w:ascii="Calibri" w:hAnsi="Calibri" w:cs="Calibri"/>
          <w:sz w:val="24"/>
          <w:szCs w:val="24"/>
        </w:rPr>
        <w:t xml:space="preserve"> Schools “are expected to assess the risk of children being drawn into terrorism, including support for extremist ideas that are part of terrorist </w:t>
      </w:r>
      <w:r w:rsidRPr="00385DCA">
        <w:rPr>
          <w:rFonts w:ascii="Calibri" w:hAnsi="Calibri" w:cs="Calibri"/>
          <w:sz w:val="24"/>
          <w:szCs w:val="24"/>
        </w:rPr>
        <w:t>ideology.”</w:t>
      </w:r>
      <w:r w:rsidRPr="00385DCA">
        <w:rPr>
          <w:rFonts w:ascii="Calibri" w:hAnsi="Calibri" w:cs="Calibri"/>
          <w:sz w:val="24"/>
          <w:szCs w:val="24"/>
          <w:vertAlign w:val="superscript"/>
        </w:rPr>
        <w:footnoteReference w:id="4"/>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4.5 The same statutory Prevent Duty Guidance states that “Extremism” is “defined in the 2011 Prevent Strategy as vocal or active opposition to fundamental British values, including democracy, the rule of law, individual liberty and mutual resp</w:t>
      </w:r>
      <w:r w:rsidRPr="00385DCA">
        <w:rPr>
          <w:rFonts w:ascii="Calibri" w:hAnsi="Calibri" w:cs="Calibri"/>
          <w:sz w:val="24"/>
          <w:szCs w:val="24"/>
        </w:rPr>
        <w:t>ect and tolerance of different faiths and beliefs. We also include in our definition of extremism calls for the deaths of members of our armed forces, whether in this country or overseas.”</w:t>
      </w:r>
      <w:r w:rsidRPr="00385DCA">
        <w:rPr>
          <w:rFonts w:ascii="Calibri" w:hAnsi="Calibri" w:cs="Calibri"/>
          <w:sz w:val="24"/>
          <w:szCs w:val="24"/>
          <w:vertAlign w:val="superscript"/>
        </w:rPr>
        <w:footnoteReference w:id="5"/>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Fundamental British Values</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5.1 In fact, the June 2011 Prevent S</w:t>
      </w:r>
      <w:r w:rsidRPr="00385DCA">
        <w:rPr>
          <w:rFonts w:ascii="Calibri" w:hAnsi="Calibri" w:cs="Calibri"/>
          <w:sz w:val="24"/>
          <w:szCs w:val="24"/>
        </w:rPr>
        <w:t>trategy also alternatively listed British Values as: “democracy, rule of law, equality of opportunity, freedom of speech and the rights of all men and women to live free from persecution of any kind.”</w:t>
      </w:r>
      <w:r w:rsidRPr="00385DCA">
        <w:rPr>
          <w:rFonts w:ascii="Calibri" w:hAnsi="Calibri" w:cs="Calibri"/>
          <w:sz w:val="24"/>
          <w:szCs w:val="24"/>
          <w:vertAlign w:val="superscript"/>
        </w:rPr>
        <w:footnoteReference w:id="6"/>
      </w:r>
      <w:r w:rsidRPr="00385DCA">
        <w:rPr>
          <w:rFonts w:ascii="Calibri" w:hAnsi="Calibri" w:cs="Calibri"/>
          <w:sz w:val="24"/>
          <w:szCs w:val="24"/>
        </w:rPr>
        <w:t xml:space="preserve"> This other list of British values was left out of non-</w:t>
      </w:r>
      <w:r w:rsidRPr="00385DCA">
        <w:rPr>
          <w:rFonts w:ascii="Calibri" w:hAnsi="Calibri" w:cs="Calibri"/>
          <w:sz w:val="24"/>
          <w:szCs w:val="24"/>
        </w:rPr>
        <w:t>statutory advice from the Department for Education in 2014, which suggested that “Schools should promote the fundamental British values of democracy, the rule of law, individual liberty and mutual respect and tolerance of those with different faiths and be</w:t>
      </w:r>
      <w:r w:rsidRPr="00385DCA">
        <w:rPr>
          <w:rFonts w:ascii="Calibri" w:hAnsi="Calibri" w:cs="Calibri"/>
          <w:sz w:val="24"/>
          <w:szCs w:val="24"/>
        </w:rPr>
        <w:t>liefs”.</w:t>
      </w:r>
      <w:r w:rsidRPr="00385DCA">
        <w:rPr>
          <w:rFonts w:ascii="Calibri" w:hAnsi="Calibri" w:cs="Calibri"/>
          <w:sz w:val="24"/>
          <w:szCs w:val="24"/>
          <w:vertAlign w:val="superscript"/>
        </w:rPr>
        <w:footnoteReference w:id="7"/>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5.4 The 2015 </w:t>
      </w:r>
      <w:proofErr w:type="spellStart"/>
      <w:r w:rsidRPr="00385DCA">
        <w:rPr>
          <w:rFonts w:ascii="Calibri" w:hAnsi="Calibri" w:cs="Calibri"/>
          <w:sz w:val="24"/>
          <w:szCs w:val="24"/>
        </w:rPr>
        <w:t>Ofsted</w:t>
      </w:r>
      <w:proofErr w:type="spellEnd"/>
      <w:r w:rsidRPr="00385DCA">
        <w:rPr>
          <w:rFonts w:ascii="Calibri" w:hAnsi="Calibri" w:cs="Calibri"/>
          <w:sz w:val="24"/>
          <w:szCs w:val="24"/>
        </w:rPr>
        <w:t xml:space="preserve"> School Inspection Handbook provides that: “The social development of pupils is shown by their … acceptance and engagement with the fundamental British values of democracy, the rule of law, individual liberty and mutual respect</w:t>
      </w:r>
      <w:r w:rsidRPr="00385DCA">
        <w:rPr>
          <w:rFonts w:ascii="Calibri" w:hAnsi="Calibri" w:cs="Calibri"/>
          <w:sz w:val="24"/>
          <w:szCs w:val="24"/>
        </w:rPr>
        <w:t xml:space="preserve"> and tolerance of those with different faiths and beliefs; they develop and demonstrate skills and attitudes that will allow them to participate fully in and contribute positively to life in modern Britain.”</w:t>
      </w:r>
      <w:r w:rsidRPr="00385DCA">
        <w:rPr>
          <w:rFonts w:ascii="Calibri" w:hAnsi="Calibri" w:cs="Calibri"/>
          <w:sz w:val="24"/>
          <w:szCs w:val="24"/>
          <w:vertAlign w:val="superscript"/>
        </w:rPr>
        <w:footnoteReference w:id="8"/>
      </w:r>
      <w:r w:rsidRPr="00385DCA">
        <w:rPr>
          <w:rFonts w:ascii="Calibri" w:hAnsi="Calibri" w:cs="Calibri"/>
          <w:sz w:val="24"/>
          <w:szCs w:val="24"/>
        </w:rPr>
        <w:t xml:space="preserve"> The handbook provides that, in judging effectiv</w:t>
      </w:r>
      <w:r w:rsidRPr="00385DCA">
        <w:rPr>
          <w:rFonts w:ascii="Calibri" w:hAnsi="Calibri" w:cs="Calibri"/>
          <w:sz w:val="24"/>
          <w:szCs w:val="24"/>
        </w:rPr>
        <w:t>eness of leadership and management in schools, “inspectors will consider … how well the school prepares pupils positively for life in modern Britain and promotes the fundamental British values of democracy, the rule of law, individual liberty and mutual re</w:t>
      </w:r>
      <w:r w:rsidRPr="00385DCA">
        <w:rPr>
          <w:rFonts w:ascii="Calibri" w:hAnsi="Calibri" w:cs="Calibri"/>
          <w:sz w:val="24"/>
          <w:szCs w:val="24"/>
        </w:rPr>
        <w:t>spect for and tolerance of those with different faiths and beliefs and for those without faith.”</w:t>
      </w:r>
      <w:r w:rsidRPr="00385DCA">
        <w:rPr>
          <w:rFonts w:ascii="Calibri" w:hAnsi="Calibri" w:cs="Calibri"/>
          <w:sz w:val="24"/>
          <w:szCs w:val="24"/>
          <w:vertAlign w:val="superscript"/>
        </w:rPr>
        <w:footnoteReference w:id="9"/>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5.6 According to non-statutory departmental advice, “schools can demonstrate they are actively promoting fundamental British values” by “ensuring pupils’ SMS</w:t>
      </w:r>
      <w:r w:rsidRPr="00385DCA">
        <w:rPr>
          <w:rFonts w:ascii="Calibri" w:hAnsi="Calibri" w:cs="Calibri"/>
          <w:sz w:val="24"/>
          <w:szCs w:val="24"/>
        </w:rPr>
        <w:t>C [spiritual, moral, social and cultural] development” including by “meeting requirements for collective worship” and by “establishing a strong school ethos”.</w:t>
      </w:r>
      <w:r w:rsidRPr="00385DCA">
        <w:rPr>
          <w:rFonts w:ascii="Calibri" w:hAnsi="Calibri" w:cs="Calibri"/>
          <w:sz w:val="24"/>
          <w:szCs w:val="24"/>
          <w:vertAlign w:val="superscript"/>
        </w:rPr>
        <w:footnoteReference w:id="10"/>
      </w:r>
      <w:r w:rsidRPr="00385DCA">
        <w:rPr>
          <w:rFonts w:ascii="Calibri" w:hAnsi="Calibri" w:cs="Calibri"/>
          <w:sz w:val="24"/>
          <w:szCs w:val="24"/>
        </w:rPr>
        <w:t xml:space="preserve"> “It is not necessary for schools or individuals to ‘promote’ teachings, beliefs or opinions that</w:t>
      </w:r>
      <w:r w:rsidRPr="00385DCA">
        <w:rPr>
          <w:rFonts w:ascii="Calibri" w:hAnsi="Calibri" w:cs="Calibri"/>
          <w:sz w:val="24"/>
          <w:szCs w:val="24"/>
        </w:rPr>
        <w:t xml:space="preserve"> conflict with their own,”</w:t>
      </w:r>
      <w:r w:rsidRPr="00385DCA">
        <w:rPr>
          <w:rFonts w:ascii="Calibri" w:hAnsi="Calibri" w:cs="Calibri"/>
          <w:sz w:val="24"/>
          <w:szCs w:val="24"/>
          <w:vertAlign w:val="superscript"/>
        </w:rPr>
        <w:footnoteReference w:id="11"/>
      </w:r>
      <w:r w:rsidRPr="00385DCA">
        <w:rPr>
          <w:rFonts w:ascii="Calibri" w:hAnsi="Calibri" w:cs="Calibri"/>
          <w:sz w:val="24"/>
          <w:szCs w:val="24"/>
        </w:rPr>
        <w:t xml:space="preserve"> so our School will demonstrate that it is actively promoting fundamental British values by continuing to ensure pupils’ SMSC development, including by building up our strong Catholic ethos and by gathering as a School community </w:t>
      </w:r>
      <w:r w:rsidRPr="00385DCA">
        <w:rPr>
          <w:rFonts w:ascii="Calibri" w:hAnsi="Calibri" w:cs="Calibri"/>
          <w:sz w:val="24"/>
          <w:szCs w:val="24"/>
        </w:rPr>
        <w:t>for Catholic worship. The following section explains how this works.</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b/>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Our School’s context and culture</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6.1 Our School mission is based on the belief that every human being is a unique person created in the image and likeness of God,</w:t>
      </w:r>
      <w:r w:rsidRPr="00385DCA">
        <w:rPr>
          <w:rFonts w:ascii="Calibri" w:hAnsi="Calibri" w:cs="Calibri"/>
          <w:sz w:val="24"/>
          <w:szCs w:val="24"/>
          <w:vertAlign w:val="superscript"/>
        </w:rPr>
        <w:footnoteReference w:id="12"/>
      </w:r>
      <w:r w:rsidRPr="00385DCA">
        <w:rPr>
          <w:rFonts w:ascii="Calibri" w:hAnsi="Calibri" w:cs="Calibri"/>
          <w:sz w:val="24"/>
          <w:szCs w:val="24"/>
        </w:rPr>
        <w:t xml:space="preserve"> with a God-given pot</w:t>
      </w:r>
      <w:r w:rsidRPr="00385DCA">
        <w:rPr>
          <w:rFonts w:ascii="Calibri" w:hAnsi="Calibri" w:cs="Calibri"/>
          <w:sz w:val="24"/>
          <w:szCs w:val="24"/>
        </w:rPr>
        <w:t>ential for growth and an eternal destiny in heaven.</w:t>
      </w:r>
      <w:r w:rsidRPr="00385DCA">
        <w:rPr>
          <w:rFonts w:ascii="Calibri" w:hAnsi="Calibri" w:cs="Calibri"/>
          <w:sz w:val="24"/>
          <w:szCs w:val="24"/>
          <w:vertAlign w:val="superscript"/>
        </w:rPr>
        <w:footnoteReference w:id="13"/>
      </w:r>
      <w:r w:rsidRPr="00385DCA">
        <w:rPr>
          <w:rFonts w:ascii="Calibri" w:hAnsi="Calibri" w:cs="Calibri"/>
          <w:sz w:val="24"/>
          <w:szCs w:val="24"/>
        </w:rPr>
        <w:t xml:space="preserve"> Our </w:t>
      </w:r>
      <w:proofErr w:type="gramStart"/>
      <w:r w:rsidRPr="00385DCA">
        <w:rPr>
          <w:rFonts w:ascii="Calibri" w:hAnsi="Calibri" w:cs="Calibri"/>
          <w:sz w:val="24"/>
          <w:szCs w:val="24"/>
        </w:rPr>
        <w:t>staff have</w:t>
      </w:r>
      <w:proofErr w:type="gramEnd"/>
      <w:r w:rsidRPr="00385DCA">
        <w:rPr>
          <w:rFonts w:ascii="Calibri" w:hAnsi="Calibri" w:cs="Calibri"/>
          <w:sz w:val="24"/>
          <w:szCs w:val="24"/>
        </w:rPr>
        <w:t xml:space="preserve"> a special vocation to make sure that all children receive the very best educational experience in order to grow in the love and knowledge of God, their </w:t>
      </w:r>
      <w:proofErr w:type="spellStart"/>
      <w:r w:rsidRPr="00385DCA">
        <w:rPr>
          <w:rFonts w:ascii="Calibri" w:hAnsi="Calibri" w:cs="Calibri"/>
          <w:sz w:val="24"/>
          <w:szCs w:val="24"/>
        </w:rPr>
        <w:t>neighbour</w:t>
      </w:r>
      <w:proofErr w:type="spellEnd"/>
      <w:r w:rsidRPr="00385DCA">
        <w:rPr>
          <w:rFonts w:ascii="Calibri" w:hAnsi="Calibri" w:cs="Calibri"/>
          <w:sz w:val="24"/>
          <w:szCs w:val="24"/>
        </w:rPr>
        <w:t>, themselves and the create</w:t>
      </w:r>
      <w:r w:rsidRPr="00385DCA">
        <w:rPr>
          <w:rFonts w:ascii="Calibri" w:hAnsi="Calibri" w:cs="Calibri"/>
          <w:sz w:val="24"/>
          <w:szCs w:val="24"/>
        </w:rPr>
        <w:t>d world.</w:t>
      </w:r>
      <w:r w:rsidRPr="00385DCA">
        <w:rPr>
          <w:rFonts w:ascii="Calibri" w:hAnsi="Calibri" w:cs="Calibri"/>
          <w:sz w:val="24"/>
          <w:szCs w:val="24"/>
          <w:vertAlign w:val="superscript"/>
        </w:rPr>
        <w:footnoteReference w:id="14"/>
      </w:r>
      <w:r w:rsidRPr="00385DCA">
        <w:rPr>
          <w:rFonts w:ascii="Calibri" w:hAnsi="Calibri" w:cs="Calibri"/>
          <w:sz w:val="24"/>
          <w:szCs w:val="24"/>
        </w:rPr>
        <w:t xml:space="preserve"> We see this as integral to our Catholic ethos.</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6.2 As a school we work together to embed and sustain this ethos. The word “ethos” can be defined as: “a way of living, behaving and doing things by people who, though diverse, follow common values </w:t>
      </w:r>
      <w:r w:rsidRPr="00385DCA">
        <w:rPr>
          <w:rFonts w:ascii="Calibri" w:hAnsi="Calibri" w:cs="Calibri"/>
          <w:sz w:val="24"/>
          <w:szCs w:val="24"/>
        </w:rPr>
        <w:t>and are linked by a shared vision of life.”</w:t>
      </w:r>
      <w:r w:rsidRPr="00385DCA">
        <w:rPr>
          <w:rFonts w:ascii="Calibri" w:hAnsi="Calibri" w:cs="Calibri"/>
          <w:sz w:val="24"/>
          <w:szCs w:val="24"/>
          <w:vertAlign w:val="superscript"/>
        </w:rPr>
        <w:footnoteReference w:id="15"/>
      </w:r>
      <w:r w:rsidRPr="00385DCA">
        <w:rPr>
          <w:rFonts w:ascii="Calibri" w:hAnsi="Calibri" w:cs="Calibri"/>
          <w:sz w:val="24"/>
          <w:szCs w:val="24"/>
        </w:rPr>
        <w:t xml:space="preserve"> Our School’s Catholic ethos promotes and helps to shape a strong set of values. These are the values of Christ’s Church, by which Christians were living before there was a Great Britain, “those essential and inn</w:t>
      </w:r>
      <w:r w:rsidRPr="00385DCA">
        <w:rPr>
          <w:rFonts w:ascii="Calibri" w:hAnsi="Calibri" w:cs="Calibri"/>
          <w:sz w:val="24"/>
          <w:szCs w:val="24"/>
        </w:rPr>
        <w:t>ate human and moral values which flow from the very truth of the human being and express and safeguard the dignity of the person: values which no individual, no majority and no State can ever create, modify or destroy, but must only acknowledge, respect an</w:t>
      </w:r>
      <w:r w:rsidRPr="00385DCA">
        <w:rPr>
          <w:rFonts w:ascii="Calibri" w:hAnsi="Calibri" w:cs="Calibri"/>
          <w:sz w:val="24"/>
          <w:szCs w:val="24"/>
        </w:rPr>
        <w:t>d promote.”</w:t>
      </w:r>
      <w:r w:rsidRPr="00385DCA">
        <w:rPr>
          <w:rFonts w:ascii="Calibri" w:hAnsi="Calibri" w:cs="Calibri"/>
          <w:sz w:val="24"/>
          <w:szCs w:val="24"/>
          <w:vertAlign w:val="superscript"/>
        </w:rPr>
        <w:footnoteReference w:id="16"/>
      </w:r>
      <w:r w:rsidRPr="00385DCA">
        <w:rPr>
          <w:rFonts w:ascii="Calibri" w:hAnsi="Calibri" w:cs="Calibri"/>
          <w:sz w:val="24"/>
          <w:szCs w:val="24"/>
        </w:rPr>
        <w:t xml:space="preserve"> There is nothing incompatible between Christian morality and fundamental British values, but we do say that our ethos encompasses and surpasses in </w:t>
      </w:r>
      <w:proofErr w:type="spellStart"/>
      <w:r w:rsidRPr="00385DCA">
        <w:rPr>
          <w:rFonts w:ascii="Calibri" w:hAnsi="Calibri" w:cs="Calibri"/>
          <w:sz w:val="24"/>
          <w:szCs w:val="24"/>
        </w:rPr>
        <w:t>splendour</w:t>
      </w:r>
      <w:proofErr w:type="spellEnd"/>
      <w:r w:rsidRPr="00385DCA">
        <w:rPr>
          <w:rFonts w:ascii="Calibri" w:hAnsi="Calibri" w:cs="Calibri"/>
          <w:sz w:val="24"/>
          <w:szCs w:val="24"/>
        </w:rPr>
        <w:t xml:space="preserve"> and in reason the minimum standard represented by fundamental British values, for our </w:t>
      </w:r>
      <w:r w:rsidRPr="00385DCA">
        <w:rPr>
          <w:rFonts w:ascii="Calibri" w:hAnsi="Calibri" w:cs="Calibri"/>
          <w:sz w:val="24"/>
          <w:szCs w:val="24"/>
        </w:rPr>
        <w:t>way is founded on beauty, truth, goodness and love:</w:t>
      </w:r>
    </w:p>
    <w:p w:rsidR="005B2EA9" w:rsidRPr="00385DCA" w:rsidRDefault="005B2EA9">
      <w:pPr>
        <w:pStyle w:val="Body"/>
        <w:jc w:val="both"/>
        <w:rPr>
          <w:rFonts w:ascii="Calibri" w:hAnsi="Calibri" w:cs="Calibri"/>
          <w:sz w:val="24"/>
          <w:szCs w:val="24"/>
        </w:rPr>
      </w:pPr>
    </w:p>
    <w:p w:rsidR="005B2EA9" w:rsidRPr="00385DCA" w:rsidRDefault="00385DCA">
      <w:pPr>
        <w:pStyle w:val="Body"/>
        <w:ind w:left="720"/>
        <w:jc w:val="both"/>
        <w:rPr>
          <w:rFonts w:ascii="Calibri" w:hAnsi="Calibri" w:cs="Calibri"/>
          <w:sz w:val="24"/>
          <w:szCs w:val="24"/>
        </w:rPr>
      </w:pPr>
      <w:r w:rsidRPr="00385DCA">
        <w:rPr>
          <w:rFonts w:ascii="Calibri" w:hAnsi="Calibri" w:cs="Calibri"/>
          <w:sz w:val="24"/>
          <w:szCs w:val="24"/>
        </w:rPr>
        <w:t xml:space="preserve">Only God is good, which means this: in him and him alone all values have their first source and final completion; he is "the Alpha and Omega, the beginning and the end". Only in him do values find their </w:t>
      </w:r>
      <w:r w:rsidRPr="00385DCA">
        <w:rPr>
          <w:rFonts w:ascii="Calibri" w:hAnsi="Calibri" w:cs="Calibri"/>
          <w:sz w:val="24"/>
          <w:szCs w:val="24"/>
        </w:rPr>
        <w:t xml:space="preserve">authenticity and definitive confirmation. Without him </w:t>
      </w:r>
      <w:r w:rsidRPr="00385DCA">
        <w:rPr>
          <w:rFonts w:ascii="Calibri" w:hAnsi="Calibri" w:cs="Calibri"/>
          <w:sz w:val="24"/>
          <w:szCs w:val="24"/>
        </w:rPr>
        <w:t>-</w:t>
      </w:r>
      <w:r w:rsidRPr="00385DCA">
        <w:rPr>
          <w:rFonts w:ascii="Calibri" w:hAnsi="Calibri" w:cs="Calibri"/>
          <w:sz w:val="24"/>
          <w:szCs w:val="24"/>
        </w:rPr>
        <w:t xml:space="preserve"> without the reference to God </w:t>
      </w:r>
      <w:r w:rsidRPr="00385DCA">
        <w:rPr>
          <w:rFonts w:ascii="Calibri" w:hAnsi="Calibri" w:cs="Calibri"/>
          <w:sz w:val="24"/>
          <w:szCs w:val="24"/>
        </w:rPr>
        <w:t>-</w:t>
      </w:r>
      <w:r w:rsidRPr="00385DCA">
        <w:rPr>
          <w:rFonts w:ascii="Calibri" w:hAnsi="Calibri" w:cs="Calibri"/>
          <w:sz w:val="24"/>
          <w:szCs w:val="24"/>
        </w:rPr>
        <w:t xml:space="preserve"> the whole world of created values remains as it </w:t>
      </w:r>
      <w:proofErr w:type="gramStart"/>
      <w:r w:rsidRPr="00385DCA">
        <w:rPr>
          <w:rFonts w:ascii="Calibri" w:hAnsi="Calibri" w:cs="Calibri"/>
          <w:sz w:val="24"/>
          <w:szCs w:val="24"/>
        </w:rPr>
        <w:t>were</w:t>
      </w:r>
      <w:proofErr w:type="gramEnd"/>
      <w:r w:rsidRPr="00385DCA">
        <w:rPr>
          <w:rFonts w:ascii="Calibri" w:hAnsi="Calibri" w:cs="Calibri"/>
          <w:sz w:val="24"/>
          <w:szCs w:val="24"/>
        </w:rPr>
        <w:t xml:space="preserve"> suspended in an absolute vacuum.</w:t>
      </w:r>
      <w:r w:rsidRPr="00385DCA">
        <w:rPr>
          <w:rFonts w:ascii="Calibri" w:hAnsi="Calibri" w:cs="Calibri"/>
          <w:sz w:val="24"/>
          <w:szCs w:val="24"/>
          <w:vertAlign w:val="superscript"/>
        </w:rPr>
        <w:footnoteReference w:id="17"/>
      </w:r>
    </w:p>
    <w:p w:rsidR="005B2EA9" w:rsidRPr="00385DCA" w:rsidRDefault="005B2EA9">
      <w:pPr>
        <w:pStyle w:val="Body"/>
        <w:ind w:left="720"/>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6.3 The government talks about promoting “mutual respect and tolerance of those </w:t>
      </w:r>
      <w:r w:rsidRPr="00385DCA">
        <w:rPr>
          <w:rFonts w:ascii="Calibri" w:hAnsi="Calibri" w:cs="Calibri"/>
          <w:sz w:val="24"/>
          <w:szCs w:val="24"/>
        </w:rPr>
        <w:t>with different faiths and beliefs”. We love; we show solidarity with our fellow human beings;</w:t>
      </w:r>
      <w:r w:rsidRPr="00385DCA">
        <w:rPr>
          <w:rFonts w:ascii="Calibri" w:hAnsi="Calibri" w:cs="Calibri"/>
          <w:sz w:val="24"/>
          <w:szCs w:val="24"/>
          <w:vertAlign w:val="superscript"/>
        </w:rPr>
        <w:footnoteReference w:id="18"/>
      </w:r>
      <w:r w:rsidRPr="00385DCA">
        <w:rPr>
          <w:rFonts w:ascii="Calibri" w:hAnsi="Calibri" w:cs="Calibri"/>
          <w:sz w:val="24"/>
          <w:szCs w:val="24"/>
        </w:rPr>
        <w:t xml:space="preserve"> we serve and we dialogue with our </w:t>
      </w:r>
      <w:proofErr w:type="spellStart"/>
      <w:r w:rsidRPr="00385DCA">
        <w:rPr>
          <w:rFonts w:ascii="Calibri" w:hAnsi="Calibri" w:cs="Calibri"/>
          <w:sz w:val="24"/>
          <w:szCs w:val="24"/>
        </w:rPr>
        <w:t>neighbour</w:t>
      </w:r>
      <w:proofErr w:type="spellEnd"/>
      <w:r w:rsidRPr="00385DCA">
        <w:rPr>
          <w:rFonts w:ascii="Calibri" w:hAnsi="Calibri" w:cs="Calibri"/>
          <w:sz w:val="24"/>
          <w:szCs w:val="24"/>
        </w:rPr>
        <w:t>;</w:t>
      </w:r>
      <w:r w:rsidRPr="00385DCA">
        <w:rPr>
          <w:rFonts w:ascii="Calibri" w:hAnsi="Calibri" w:cs="Calibri"/>
          <w:sz w:val="24"/>
          <w:szCs w:val="24"/>
          <w:vertAlign w:val="superscript"/>
        </w:rPr>
        <w:footnoteReference w:id="19"/>
      </w:r>
      <w:r w:rsidRPr="00385DCA">
        <w:rPr>
          <w:rFonts w:ascii="Calibri" w:hAnsi="Calibri" w:cs="Calibri"/>
          <w:sz w:val="24"/>
          <w:szCs w:val="24"/>
        </w:rPr>
        <w:t xml:space="preserve"> and we sincerely respect one another - those who share our views and those who hold different views.</w:t>
      </w:r>
      <w:r w:rsidRPr="00385DCA">
        <w:rPr>
          <w:rFonts w:ascii="Calibri" w:hAnsi="Calibri" w:cs="Calibri"/>
          <w:sz w:val="24"/>
          <w:szCs w:val="24"/>
          <w:vertAlign w:val="superscript"/>
        </w:rPr>
        <w:footnoteReference w:id="20"/>
      </w:r>
      <w:r w:rsidRPr="00385DCA">
        <w:rPr>
          <w:rFonts w:ascii="Calibri" w:hAnsi="Calibri" w:cs="Calibri"/>
          <w:sz w:val="24"/>
          <w:szCs w:val="24"/>
        </w:rPr>
        <w:t xml:space="preserve"> We think that</w:t>
      </w:r>
      <w:r w:rsidRPr="00385DCA">
        <w:rPr>
          <w:rFonts w:ascii="Calibri" w:hAnsi="Calibri" w:cs="Calibri"/>
          <w:sz w:val="24"/>
          <w:szCs w:val="24"/>
        </w:rPr>
        <w:t xml:space="preserve"> this encompasses what the government means when it speaks of the British value of tolerance, but we think that our approach is broader and better than mere toleration. To tolerate someone is to put up with him, but we seek to find in every meeting with an</w:t>
      </w:r>
      <w:r w:rsidRPr="00385DCA">
        <w:rPr>
          <w:rFonts w:ascii="Calibri" w:hAnsi="Calibri" w:cs="Calibri"/>
          <w:sz w:val="24"/>
          <w:szCs w:val="24"/>
        </w:rPr>
        <w:t>other human being a privileged encounter with the divine image.</w:t>
      </w:r>
      <w:r w:rsidRPr="00385DCA">
        <w:rPr>
          <w:rFonts w:ascii="Calibri" w:hAnsi="Calibri" w:cs="Calibri"/>
          <w:sz w:val="24"/>
          <w:szCs w:val="24"/>
          <w:vertAlign w:val="superscript"/>
        </w:rPr>
        <w:footnoteReference w:id="21"/>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6.4 The government talks about promoting “individual liberty”. Our respect for one another is sincere, and embraces those of all cultures and beliefs.</w:t>
      </w:r>
      <w:r w:rsidRPr="00385DCA">
        <w:rPr>
          <w:rFonts w:ascii="Calibri" w:hAnsi="Calibri" w:cs="Calibri"/>
          <w:sz w:val="24"/>
          <w:szCs w:val="24"/>
          <w:vertAlign w:val="superscript"/>
        </w:rPr>
        <w:footnoteReference w:id="22"/>
      </w:r>
      <w:r w:rsidRPr="00385DCA">
        <w:rPr>
          <w:rFonts w:ascii="Calibri" w:hAnsi="Calibri" w:cs="Calibri"/>
          <w:sz w:val="24"/>
          <w:szCs w:val="24"/>
        </w:rPr>
        <w:t xml:space="preserve"> This is because we respect the image o</w:t>
      </w:r>
      <w:r w:rsidRPr="00385DCA">
        <w:rPr>
          <w:rFonts w:ascii="Calibri" w:hAnsi="Calibri" w:cs="Calibri"/>
          <w:sz w:val="24"/>
          <w:szCs w:val="24"/>
        </w:rPr>
        <w:t>f God in the human being created in His likeness.</w:t>
      </w:r>
      <w:r w:rsidRPr="00385DCA">
        <w:rPr>
          <w:rFonts w:ascii="Calibri" w:hAnsi="Calibri" w:cs="Calibri"/>
          <w:sz w:val="24"/>
          <w:szCs w:val="24"/>
          <w:vertAlign w:val="superscript"/>
        </w:rPr>
        <w:footnoteReference w:id="23"/>
      </w:r>
      <w:r w:rsidRPr="00385DCA">
        <w:rPr>
          <w:rFonts w:ascii="Calibri" w:hAnsi="Calibri" w:cs="Calibri"/>
          <w:sz w:val="24"/>
          <w:szCs w:val="24"/>
        </w:rPr>
        <w:t xml:space="preserve"> God has made human beings with the powers of reason and free choice which no one can take away.</w:t>
      </w:r>
      <w:r w:rsidRPr="00385DCA">
        <w:rPr>
          <w:rFonts w:ascii="Calibri" w:hAnsi="Calibri" w:cs="Calibri"/>
          <w:sz w:val="24"/>
          <w:szCs w:val="24"/>
          <w:vertAlign w:val="superscript"/>
        </w:rPr>
        <w:footnoteReference w:id="24"/>
      </w:r>
      <w:r w:rsidRPr="00385DCA">
        <w:rPr>
          <w:rFonts w:ascii="Calibri" w:hAnsi="Calibri" w:cs="Calibri"/>
          <w:sz w:val="24"/>
          <w:szCs w:val="24"/>
        </w:rPr>
        <w:t xml:space="preserve"> This is why we respect the free choices of others and their reasons for making them.</w:t>
      </w:r>
      <w:r w:rsidRPr="00385DCA">
        <w:rPr>
          <w:rFonts w:ascii="Calibri" w:hAnsi="Calibri" w:cs="Calibri"/>
          <w:sz w:val="24"/>
          <w:szCs w:val="24"/>
          <w:vertAlign w:val="superscript"/>
        </w:rPr>
        <w:footnoteReference w:id="25"/>
      </w:r>
      <w:r w:rsidRPr="00385DCA">
        <w:rPr>
          <w:rFonts w:ascii="Calibri" w:hAnsi="Calibri" w:cs="Calibri"/>
          <w:sz w:val="24"/>
          <w:szCs w:val="24"/>
        </w:rPr>
        <w:t xml:space="preserve"> We think that “the fre</w:t>
      </w:r>
      <w:r w:rsidRPr="00385DCA">
        <w:rPr>
          <w:rFonts w:ascii="Calibri" w:hAnsi="Calibri" w:cs="Calibri"/>
          <w:sz w:val="24"/>
          <w:szCs w:val="24"/>
        </w:rPr>
        <w:t>edom of the human person” is a more appropriate idiom than “individual liberty” because it grounds our freedom in a reasonable account of our nature.</w:t>
      </w:r>
      <w:r w:rsidRPr="00385DCA">
        <w:rPr>
          <w:rFonts w:ascii="Calibri" w:hAnsi="Calibri" w:cs="Calibri"/>
          <w:sz w:val="24"/>
          <w:szCs w:val="24"/>
          <w:vertAlign w:val="superscript"/>
        </w:rPr>
        <w:footnoteReference w:id="26"/>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6.5 As human beings we need to live in society,</w:t>
      </w:r>
      <w:r w:rsidRPr="00385DCA">
        <w:rPr>
          <w:rFonts w:ascii="Calibri" w:hAnsi="Calibri" w:cs="Calibri"/>
          <w:sz w:val="24"/>
          <w:szCs w:val="24"/>
          <w:vertAlign w:val="superscript"/>
        </w:rPr>
        <w:footnoteReference w:id="27"/>
      </w:r>
      <w:r w:rsidRPr="00385DCA">
        <w:rPr>
          <w:rFonts w:ascii="Calibri" w:hAnsi="Calibri" w:cs="Calibri"/>
          <w:sz w:val="24"/>
          <w:szCs w:val="24"/>
        </w:rPr>
        <w:t xml:space="preserve"> and that means that we strive to make ourselves good </w:t>
      </w:r>
      <w:proofErr w:type="spellStart"/>
      <w:r w:rsidRPr="00385DCA">
        <w:rPr>
          <w:rFonts w:ascii="Calibri" w:hAnsi="Calibri" w:cs="Calibri"/>
          <w:sz w:val="24"/>
          <w:szCs w:val="24"/>
        </w:rPr>
        <w:t>ne</w:t>
      </w:r>
      <w:r w:rsidRPr="00385DCA">
        <w:rPr>
          <w:rFonts w:ascii="Calibri" w:hAnsi="Calibri" w:cs="Calibri"/>
          <w:sz w:val="24"/>
          <w:szCs w:val="24"/>
        </w:rPr>
        <w:t>ighbours</w:t>
      </w:r>
      <w:proofErr w:type="spellEnd"/>
      <w:r w:rsidRPr="00385DCA">
        <w:rPr>
          <w:rFonts w:ascii="Calibri" w:hAnsi="Calibri" w:cs="Calibri"/>
          <w:sz w:val="24"/>
          <w:szCs w:val="24"/>
        </w:rPr>
        <w:t xml:space="preserve"> to others.</w:t>
      </w:r>
      <w:r w:rsidRPr="00385DCA">
        <w:rPr>
          <w:rFonts w:ascii="Calibri" w:hAnsi="Calibri" w:cs="Calibri"/>
          <w:sz w:val="24"/>
          <w:szCs w:val="24"/>
          <w:vertAlign w:val="superscript"/>
        </w:rPr>
        <w:footnoteReference w:id="28"/>
      </w:r>
      <w:r w:rsidRPr="00385DCA">
        <w:rPr>
          <w:rFonts w:ascii="Calibri" w:hAnsi="Calibri" w:cs="Calibri"/>
          <w:sz w:val="24"/>
          <w:szCs w:val="24"/>
        </w:rPr>
        <w:t xml:space="preserve"> We </w:t>
      </w:r>
      <w:proofErr w:type="spellStart"/>
      <w:r w:rsidRPr="00385DCA">
        <w:rPr>
          <w:rFonts w:ascii="Calibri" w:hAnsi="Calibri" w:cs="Calibri"/>
          <w:sz w:val="24"/>
          <w:szCs w:val="24"/>
        </w:rPr>
        <w:t>honour</w:t>
      </w:r>
      <w:proofErr w:type="spellEnd"/>
      <w:r w:rsidRPr="00385DCA">
        <w:rPr>
          <w:rFonts w:ascii="Calibri" w:hAnsi="Calibri" w:cs="Calibri"/>
          <w:sz w:val="24"/>
          <w:szCs w:val="24"/>
        </w:rPr>
        <w:t xml:space="preserve"> the authorities which govern the human community for the common good.</w:t>
      </w:r>
      <w:r w:rsidRPr="00385DCA">
        <w:rPr>
          <w:rFonts w:ascii="Calibri" w:hAnsi="Calibri" w:cs="Calibri"/>
          <w:sz w:val="24"/>
          <w:szCs w:val="24"/>
          <w:vertAlign w:val="superscript"/>
        </w:rPr>
        <w:footnoteReference w:id="29"/>
      </w:r>
      <w:r w:rsidRPr="00385DCA">
        <w:rPr>
          <w:rFonts w:ascii="Calibri" w:hAnsi="Calibri" w:cs="Calibri"/>
          <w:sz w:val="24"/>
          <w:szCs w:val="24"/>
        </w:rPr>
        <w:t xml:space="preserve"> We accord due respect to those who hold office.</w:t>
      </w:r>
      <w:r w:rsidRPr="00385DCA">
        <w:rPr>
          <w:rFonts w:ascii="Calibri" w:hAnsi="Calibri" w:cs="Calibri"/>
          <w:sz w:val="24"/>
          <w:szCs w:val="24"/>
          <w:vertAlign w:val="superscript"/>
        </w:rPr>
        <w:footnoteReference w:id="30"/>
      </w:r>
      <w:r w:rsidRPr="00385DCA">
        <w:rPr>
          <w:rFonts w:ascii="Calibri" w:hAnsi="Calibri" w:cs="Calibri"/>
          <w:sz w:val="24"/>
          <w:szCs w:val="24"/>
        </w:rPr>
        <w:t xml:space="preserve"> In contemporary Britain we seek to achieve the common good through the democratic process.</w:t>
      </w:r>
      <w:r w:rsidRPr="00385DCA">
        <w:rPr>
          <w:rFonts w:ascii="Calibri" w:hAnsi="Calibri" w:cs="Calibri"/>
          <w:sz w:val="24"/>
          <w:szCs w:val="24"/>
          <w:vertAlign w:val="superscript"/>
        </w:rPr>
        <w:footnoteReference w:id="31"/>
      </w:r>
      <w:r w:rsidRPr="00385DCA">
        <w:rPr>
          <w:rFonts w:ascii="Calibri" w:hAnsi="Calibri" w:cs="Calibri"/>
          <w:sz w:val="24"/>
          <w:szCs w:val="24"/>
        </w:rPr>
        <w:t xml:space="preserve"> As part of th</w:t>
      </w:r>
      <w:r w:rsidRPr="00385DCA">
        <w:rPr>
          <w:rFonts w:ascii="Calibri" w:hAnsi="Calibri" w:cs="Calibri"/>
          <w:sz w:val="24"/>
          <w:szCs w:val="24"/>
        </w:rPr>
        <w:t>is process we teach our children to support, hope for, and work towards just laws based on right reason.</w:t>
      </w:r>
      <w:r w:rsidRPr="00385DCA">
        <w:rPr>
          <w:rFonts w:ascii="Calibri" w:hAnsi="Calibri" w:cs="Calibri"/>
          <w:sz w:val="24"/>
          <w:szCs w:val="24"/>
          <w:vertAlign w:val="superscript"/>
        </w:rPr>
        <w:footnoteReference w:id="32"/>
      </w:r>
      <w:r w:rsidRPr="00385DCA">
        <w:rPr>
          <w:rFonts w:ascii="Calibri" w:hAnsi="Calibri" w:cs="Calibri"/>
          <w:sz w:val="24"/>
          <w:szCs w:val="24"/>
        </w:rPr>
        <w:t xml:space="preserve"> We acknowledge that this can only happen with the benefit of the rule of law, by which law is sovereign and not the arbitrary will of men.</w:t>
      </w:r>
      <w:r w:rsidRPr="00385DCA">
        <w:rPr>
          <w:rFonts w:ascii="Calibri" w:hAnsi="Calibri" w:cs="Calibri"/>
          <w:sz w:val="24"/>
          <w:szCs w:val="24"/>
          <w:vertAlign w:val="superscript"/>
        </w:rPr>
        <w:footnoteReference w:id="33"/>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6.6 In br</w:t>
      </w:r>
      <w:r w:rsidRPr="00385DCA">
        <w:rPr>
          <w:rFonts w:ascii="Calibri" w:hAnsi="Calibri" w:cs="Calibri"/>
          <w:sz w:val="24"/>
          <w:szCs w:val="24"/>
        </w:rPr>
        <w:t xml:space="preserve">inging to </w:t>
      </w:r>
      <w:proofErr w:type="spellStart"/>
      <w:r w:rsidRPr="00385DCA">
        <w:rPr>
          <w:rFonts w:ascii="Calibri" w:hAnsi="Calibri" w:cs="Calibri"/>
          <w:sz w:val="24"/>
          <w:szCs w:val="24"/>
        </w:rPr>
        <w:t>fulfilment</w:t>
      </w:r>
      <w:proofErr w:type="spellEnd"/>
      <w:r w:rsidRPr="00385DCA">
        <w:rPr>
          <w:rFonts w:ascii="Calibri" w:hAnsi="Calibri" w:cs="Calibri"/>
          <w:sz w:val="24"/>
          <w:szCs w:val="24"/>
        </w:rPr>
        <w:t xml:space="preserve"> this high vocation of service to our </w:t>
      </w:r>
      <w:proofErr w:type="spellStart"/>
      <w:r w:rsidRPr="00385DCA">
        <w:rPr>
          <w:rFonts w:ascii="Calibri" w:hAnsi="Calibri" w:cs="Calibri"/>
          <w:sz w:val="24"/>
          <w:szCs w:val="24"/>
        </w:rPr>
        <w:t>neighbour</w:t>
      </w:r>
      <w:proofErr w:type="spellEnd"/>
      <w:r w:rsidRPr="00385DCA">
        <w:rPr>
          <w:rFonts w:ascii="Calibri" w:hAnsi="Calibri" w:cs="Calibri"/>
          <w:sz w:val="24"/>
          <w:szCs w:val="24"/>
        </w:rPr>
        <w:t xml:space="preserve">, we call on the help of the Lord, the Holy Spirit, </w:t>
      </w:r>
      <w:proofErr w:type="gramStart"/>
      <w:r w:rsidRPr="00385DCA">
        <w:rPr>
          <w:rFonts w:ascii="Calibri" w:hAnsi="Calibri" w:cs="Calibri"/>
          <w:sz w:val="24"/>
          <w:szCs w:val="24"/>
        </w:rPr>
        <w:t>the</w:t>
      </w:r>
      <w:proofErr w:type="gramEnd"/>
      <w:r w:rsidRPr="00385DCA">
        <w:rPr>
          <w:rFonts w:ascii="Calibri" w:hAnsi="Calibri" w:cs="Calibri"/>
          <w:sz w:val="24"/>
          <w:szCs w:val="24"/>
        </w:rPr>
        <w:t xml:space="preserve"> giver of life. </w:t>
      </w:r>
      <w:proofErr w:type="gramStart"/>
      <w:r w:rsidRPr="00385DCA">
        <w:rPr>
          <w:rFonts w:ascii="Calibri" w:hAnsi="Calibri" w:cs="Calibri"/>
          <w:sz w:val="24"/>
          <w:szCs w:val="24"/>
        </w:rPr>
        <w:t>“For the fruit of the Spirit is charity, joy and peace, patience, understanding of others, kindness and fidelity, gent</w:t>
      </w:r>
      <w:r w:rsidRPr="00385DCA">
        <w:rPr>
          <w:rFonts w:ascii="Calibri" w:hAnsi="Calibri" w:cs="Calibri"/>
          <w:sz w:val="24"/>
          <w:szCs w:val="24"/>
        </w:rPr>
        <w:t>leness and self-control.</w:t>
      </w:r>
      <w:proofErr w:type="gramEnd"/>
      <w:r w:rsidRPr="00385DCA">
        <w:rPr>
          <w:rFonts w:ascii="Calibri" w:hAnsi="Calibri" w:cs="Calibri"/>
          <w:sz w:val="24"/>
          <w:szCs w:val="24"/>
        </w:rPr>
        <w:t xml:space="preserve"> Against such things there is no law.”</w:t>
      </w:r>
      <w:r w:rsidRPr="00385DCA">
        <w:rPr>
          <w:rFonts w:ascii="Calibri" w:hAnsi="Calibri" w:cs="Calibri"/>
          <w:sz w:val="24"/>
          <w:szCs w:val="24"/>
          <w:vertAlign w:val="superscript"/>
        </w:rPr>
        <w:footnoteReference w:id="34"/>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Anti-radicalisation policy</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7.1 Statutory Prevent Duty guidance defines “radicalisation” as “the process by which a person comes to support terrorism and extremist ideologies associated with</w:t>
      </w:r>
      <w:r w:rsidRPr="00385DCA">
        <w:rPr>
          <w:rFonts w:ascii="Calibri" w:hAnsi="Calibri" w:cs="Calibri"/>
          <w:sz w:val="24"/>
          <w:szCs w:val="24"/>
        </w:rPr>
        <w:t xml:space="preserve"> terrorist groups.”</w:t>
      </w:r>
      <w:r w:rsidRPr="00385DCA">
        <w:rPr>
          <w:rFonts w:ascii="Calibri" w:hAnsi="Calibri" w:cs="Calibri"/>
          <w:sz w:val="24"/>
          <w:szCs w:val="24"/>
          <w:vertAlign w:val="superscript"/>
        </w:rPr>
        <w:footnoteReference w:id="35"/>
      </w:r>
      <w:r w:rsidRPr="00385DCA">
        <w:rPr>
          <w:rFonts w:ascii="Calibri" w:hAnsi="Calibri" w:cs="Calibri"/>
          <w:sz w:val="24"/>
          <w:szCs w:val="24"/>
        </w:rPr>
        <w:t xml:space="preserve"> We adopt this definition here because it is sufficiently clear. There are other definitions which are insufficiently clear, or too broad, and we reject those. The Prevent Duty is directed towards the prevention of terrorism, a serious </w:t>
      </w:r>
      <w:r w:rsidRPr="00385DCA">
        <w:rPr>
          <w:rFonts w:ascii="Calibri" w:hAnsi="Calibri" w:cs="Calibri"/>
          <w:sz w:val="24"/>
          <w:szCs w:val="24"/>
        </w:rPr>
        <w:t xml:space="preserve">criminal offence, not against legitimate calls for change, however different from the </w:t>
      </w:r>
      <w:r w:rsidRPr="00385DCA">
        <w:rPr>
          <w:rFonts w:ascii="Calibri" w:hAnsi="Calibri" w:cs="Calibri"/>
          <w:i/>
          <w:iCs/>
          <w:sz w:val="24"/>
          <w:szCs w:val="24"/>
        </w:rPr>
        <w:t>status quo</w:t>
      </w:r>
      <w:r w:rsidRPr="00385DCA">
        <w:rPr>
          <w:rFonts w:ascii="Calibri" w:hAnsi="Calibri" w:cs="Calibri"/>
          <w:sz w:val="24"/>
          <w:szCs w:val="24"/>
        </w:rPr>
        <w:t xml:space="preserve"> they may seem. Indeed, we celebrate the advancement of peace and justice by people who refused to settle for the </w:t>
      </w:r>
      <w:r w:rsidRPr="00385DCA">
        <w:rPr>
          <w:rFonts w:ascii="Calibri" w:hAnsi="Calibri" w:cs="Calibri"/>
          <w:i/>
          <w:iCs/>
          <w:sz w:val="24"/>
          <w:szCs w:val="24"/>
        </w:rPr>
        <w:t>status quo</w:t>
      </w:r>
      <w:r w:rsidRPr="00385DCA">
        <w:rPr>
          <w:rFonts w:ascii="Calibri" w:hAnsi="Calibri" w:cs="Calibri"/>
          <w:sz w:val="24"/>
          <w:szCs w:val="24"/>
        </w:rPr>
        <w:t>: William Wilberforce’</w:t>
      </w:r>
      <w:r w:rsidRPr="00385DCA">
        <w:rPr>
          <w:rFonts w:ascii="Calibri" w:hAnsi="Calibri" w:cs="Calibri"/>
          <w:sz w:val="24"/>
          <w:szCs w:val="24"/>
        </w:rPr>
        <w:t xml:space="preserve">s campaign to end the slave trade </w:t>
      </w:r>
      <w:r w:rsidRPr="00385DCA">
        <w:rPr>
          <w:rFonts w:ascii="Calibri" w:hAnsi="Calibri" w:cs="Calibri"/>
          <w:sz w:val="24"/>
          <w:szCs w:val="24"/>
        </w:rPr>
        <w:t>(1787 - 1833)</w:t>
      </w:r>
      <w:r w:rsidRPr="00385DCA">
        <w:rPr>
          <w:rFonts w:ascii="Calibri" w:hAnsi="Calibri" w:cs="Calibri"/>
          <w:sz w:val="24"/>
          <w:szCs w:val="24"/>
        </w:rPr>
        <w:t xml:space="preserve">, the People’s Charter of 1838, and the National Union of Women’s Suffrage Societies (1897-1928) are good examples. Our policy is to </w:t>
      </w:r>
      <w:proofErr w:type="gramStart"/>
      <w:r w:rsidRPr="00385DCA">
        <w:rPr>
          <w:rFonts w:ascii="Calibri" w:hAnsi="Calibri" w:cs="Calibri"/>
          <w:sz w:val="24"/>
          <w:szCs w:val="24"/>
        </w:rPr>
        <w:t>proceed</w:t>
      </w:r>
      <w:proofErr w:type="gramEnd"/>
      <w:r w:rsidRPr="00385DCA">
        <w:rPr>
          <w:rFonts w:ascii="Calibri" w:hAnsi="Calibri" w:cs="Calibri"/>
          <w:sz w:val="24"/>
          <w:szCs w:val="24"/>
        </w:rPr>
        <w:t xml:space="preserve"> on the basis that in seeking to prevent radicalisation we are specif</w:t>
      </w:r>
      <w:r w:rsidRPr="00385DCA">
        <w:rPr>
          <w:rFonts w:ascii="Calibri" w:hAnsi="Calibri" w:cs="Calibri"/>
          <w:sz w:val="24"/>
          <w:szCs w:val="24"/>
        </w:rPr>
        <w:t xml:space="preserve">ically seeking to identify </w:t>
      </w:r>
      <w:proofErr w:type="spellStart"/>
      <w:r w:rsidRPr="00385DCA">
        <w:rPr>
          <w:rFonts w:ascii="Calibri" w:hAnsi="Calibri" w:cs="Calibri"/>
          <w:sz w:val="24"/>
          <w:szCs w:val="24"/>
        </w:rPr>
        <w:t>behaviour</w:t>
      </w:r>
      <w:proofErr w:type="spellEnd"/>
      <w:r w:rsidRPr="00385DCA">
        <w:rPr>
          <w:rFonts w:ascii="Calibri" w:hAnsi="Calibri" w:cs="Calibri"/>
          <w:sz w:val="24"/>
          <w:szCs w:val="24"/>
        </w:rPr>
        <w:t xml:space="preserve"> that could lead to involvement in or support for terrorism, and only that.</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7.2 Our School protects children from being drawn into terrorism by adopting robust safeguarding policy, and through appropriate intervention. </w:t>
      </w:r>
      <w:r w:rsidRPr="00385DCA">
        <w:rPr>
          <w:rFonts w:ascii="Calibri" w:hAnsi="Calibri" w:cs="Calibri"/>
          <w:sz w:val="24"/>
          <w:szCs w:val="24"/>
        </w:rPr>
        <w:t>Governors and Senior Leaders understand the local context and the character of the school, and are able to assess in general terms the level and nature of the risk of radicalisation to which our children are likely to be exposed. This awareness informs our</w:t>
      </w:r>
      <w:r w:rsidRPr="00385DCA">
        <w:rPr>
          <w:rFonts w:ascii="Calibri" w:hAnsi="Calibri" w:cs="Calibri"/>
          <w:sz w:val="24"/>
          <w:szCs w:val="24"/>
        </w:rPr>
        <w:t xml:space="preserve"> School’s curriculum and other policies. We seek to protect our children generally from radicalisation by: proposing sound moral values within a strong Catholic ethos, holding knowledge and learning in esteem, promoting self-respect and good </w:t>
      </w:r>
      <w:proofErr w:type="spellStart"/>
      <w:r w:rsidRPr="00385DCA">
        <w:rPr>
          <w:rFonts w:ascii="Calibri" w:hAnsi="Calibri" w:cs="Calibri"/>
          <w:sz w:val="24"/>
          <w:szCs w:val="24"/>
        </w:rPr>
        <w:t>behaviour</w:t>
      </w:r>
      <w:proofErr w:type="spellEnd"/>
      <w:r w:rsidRPr="00385DCA">
        <w:rPr>
          <w:rFonts w:ascii="Calibri" w:hAnsi="Calibri" w:cs="Calibri"/>
          <w:sz w:val="24"/>
          <w:szCs w:val="24"/>
        </w:rPr>
        <w:t>, and</w:t>
      </w:r>
      <w:r w:rsidRPr="00385DCA">
        <w:rPr>
          <w:rFonts w:ascii="Calibri" w:hAnsi="Calibri" w:cs="Calibri"/>
          <w:sz w:val="24"/>
          <w:szCs w:val="24"/>
        </w:rPr>
        <w:t xml:space="preserve"> building up children’s resilience to bad ideas. The virtues of Prayer, Love, Joy, Truth, Faith, Peace and Justice are painted in words on the walls of our classrooms, and we seek to </w:t>
      </w:r>
      <w:proofErr w:type="spellStart"/>
      <w:r w:rsidRPr="00385DCA">
        <w:rPr>
          <w:rFonts w:ascii="Calibri" w:hAnsi="Calibri" w:cs="Calibri"/>
          <w:sz w:val="24"/>
          <w:szCs w:val="24"/>
        </w:rPr>
        <w:t>honour</w:t>
      </w:r>
      <w:proofErr w:type="spellEnd"/>
      <w:r w:rsidRPr="00385DCA">
        <w:rPr>
          <w:rFonts w:ascii="Calibri" w:hAnsi="Calibri" w:cs="Calibri"/>
          <w:sz w:val="24"/>
          <w:szCs w:val="24"/>
        </w:rPr>
        <w:t xml:space="preserve"> them in everything we do. We think that this method equips childre</w:t>
      </w:r>
      <w:r w:rsidRPr="00385DCA">
        <w:rPr>
          <w:rFonts w:ascii="Calibri" w:hAnsi="Calibri" w:cs="Calibri"/>
          <w:sz w:val="24"/>
          <w:szCs w:val="24"/>
        </w:rPr>
        <w:t>n to resist radicalisation in the future too.</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7.3 Our School’s safeguarding arrangements take into account, as appropriate, local authority practice within the inter-agency safeguarding procedures of the Birmingham Safeguarding Children Board (BSCB). Our </w:t>
      </w:r>
      <w:r w:rsidRPr="00385DCA">
        <w:rPr>
          <w:rFonts w:ascii="Calibri" w:hAnsi="Calibri" w:cs="Calibri"/>
          <w:sz w:val="24"/>
          <w:szCs w:val="24"/>
        </w:rPr>
        <w:t xml:space="preserve">Safeguarding Policy describes procedures in accordance with relevant government guidance and locally-agreed BSCB inter-agency procedures. We work in partnership with other schools in the </w:t>
      </w:r>
      <w:proofErr w:type="spellStart"/>
      <w:r w:rsidRPr="00385DCA">
        <w:rPr>
          <w:rFonts w:ascii="Calibri" w:hAnsi="Calibri" w:cs="Calibri"/>
          <w:sz w:val="24"/>
          <w:szCs w:val="24"/>
        </w:rPr>
        <w:t>Ladywood</w:t>
      </w:r>
      <w:proofErr w:type="spellEnd"/>
      <w:r w:rsidRPr="00385DCA">
        <w:rPr>
          <w:rFonts w:ascii="Calibri" w:hAnsi="Calibri" w:cs="Calibri"/>
          <w:sz w:val="24"/>
          <w:szCs w:val="24"/>
        </w:rPr>
        <w:t xml:space="preserve"> Consortium, Caritas Christi in </w:t>
      </w:r>
      <w:proofErr w:type="spellStart"/>
      <w:r w:rsidRPr="00385DCA">
        <w:rPr>
          <w:rFonts w:ascii="Calibri" w:hAnsi="Calibri" w:cs="Calibri"/>
          <w:sz w:val="24"/>
          <w:szCs w:val="24"/>
        </w:rPr>
        <w:t>Urbe</w:t>
      </w:r>
      <w:proofErr w:type="spellEnd"/>
      <w:r w:rsidRPr="00385DCA">
        <w:rPr>
          <w:rFonts w:ascii="Calibri" w:hAnsi="Calibri" w:cs="Calibri"/>
          <w:sz w:val="24"/>
          <w:szCs w:val="24"/>
        </w:rPr>
        <w:t>, Birmingham Catholic Par</w:t>
      </w:r>
      <w:r w:rsidRPr="00385DCA">
        <w:rPr>
          <w:rFonts w:ascii="Calibri" w:hAnsi="Calibri" w:cs="Calibri"/>
          <w:sz w:val="24"/>
          <w:szCs w:val="24"/>
        </w:rPr>
        <w:t>tnership, and Birmingham Education Partnership to share knowledge, experience and training opportunities. We work in partnership with the police, the Child Advice Support Service, the Multi-Agency Safeguarding Hub, and Children’s Social Care to protect chi</w:t>
      </w:r>
      <w:r w:rsidRPr="00385DCA">
        <w:rPr>
          <w:rFonts w:ascii="Calibri" w:hAnsi="Calibri" w:cs="Calibri"/>
          <w:sz w:val="24"/>
          <w:szCs w:val="24"/>
        </w:rPr>
        <w:t>ldren from harm.</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7.4 In accordance with our School’s Safeguarding policy, staff are trained: to notice changes in children’s </w:t>
      </w:r>
      <w:proofErr w:type="spellStart"/>
      <w:r w:rsidRPr="00385DCA">
        <w:rPr>
          <w:rFonts w:ascii="Calibri" w:hAnsi="Calibri" w:cs="Calibri"/>
          <w:sz w:val="24"/>
          <w:szCs w:val="24"/>
        </w:rPr>
        <w:t>behaviour</w:t>
      </w:r>
      <w:proofErr w:type="spellEnd"/>
      <w:r w:rsidRPr="00385DCA">
        <w:rPr>
          <w:rFonts w:ascii="Calibri" w:hAnsi="Calibri" w:cs="Calibri"/>
          <w:sz w:val="24"/>
          <w:szCs w:val="24"/>
        </w:rPr>
        <w:t xml:space="preserve"> which might indicate a safeguarding concern, including radicalisation; to check any concerns they may have with colleagu</w:t>
      </w:r>
      <w:r w:rsidRPr="00385DCA">
        <w:rPr>
          <w:rFonts w:ascii="Calibri" w:hAnsi="Calibri" w:cs="Calibri"/>
          <w:sz w:val="24"/>
          <w:szCs w:val="24"/>
        </w:rPr>
        <w:t xml:space="preserve">es; and to share their concerns with the Head Teacher, Designated Safeguarding Lead or Deputy Designated Safeguarding Leads. Staff and governors have access to regular training to provide them with the knowledge and confidence to identify children at risk </w:t>
      </w:r>
      <w:r w:rsidRPr="00385DCA">
        <w:rPr>
          <w:rFonts w:ascii="Calibri" w:hAnsi="Calibri" w:cs="Calibri"/>
          <w:sz w:val="24"/>
          <w:szCs w:val="24"/>
        </w:rPr>
        <w:t xml:space="preserve">of being drawn into terrorism and to challenge any attempt to encourage, justify or glorify terrorism or terrorist </w:t>
      </w:r>
      <w:proofErr w:type="spellStart"/>
      <w:r w:rsidRPr="00385DCA">
        <w:rPr>
          <w:rFonts w:ascii="Calibri" w:hAnsi="Calibri" w:cs="Calibri"/>
          <w:sz w:val="24"/>
          <w:szCs w:val="24"/>
        </w:rPr>
        <w:t>organisations</w:t>
      </w:r>
      <w:proofErr w:type="spellEnd"/>
      <w:r w:rsidRPr="00385DCA">
        <w:rPr>
          <w:rFonts w:ascii="Calibri" w:hAnsi="Calibri" w:cs="Calibri"/>
          <w:sz w:val="24"/>
          <w:szCs w:val="24"/>
        </w:rPr>
        <w:t xml:space="preserve">. </w:t>
      </w:r>
      <w:proofErr w:type="gramStart"/>
      <w:r w:rsidRPr="00385DCA">
        <w:rPr>
          <w:rFonts w:ascii="Calibri" w:hAnsi="Calibri" w:cs="Calibri"/>
          <w:sz w:val="24"/>
          <w:szCs w:val="24"/>
        </w:rPr>
        <w:t>Staff are</w:t>
      </w:r>
      <w:proofErr w:type="gramEnd"/>
      <w:r w:rsidRPr="00385DCA">
        <w:rPr>
          <w:rFonts w:ascii="Calibri" w:hAnsi="Calibri" w:cs="Calibri"/>
          <w:sz w:val="24"/>
          <w:szCs w:val="24"/>
        </w:rPr>
        <w:t xml:space="preserve"> trained on the help available to children at risk of radicalisation and the process of making a referral. Four dedic</w:t>
      </w:r>
      <w:r w:rsidRPr="00385DCA">
        <w:rPr>
          <w:rFonts w:ascii="Calibri" w:hAnsi="Calibri" w:cs="Calibri"/>
          <w:sz w:val="24"/>
          <w:szCs w:val="24"/>
        </w:rPr>
        <w:t xml:space="preserve">ated safeguarding notice boards are located in the School, displaying information about: indicators of vulnerability; critical risk factors; and single point of contact details. All staff </w:t>
      </w:r>
      <w:proofErr w:type="gramStart"/>
      <w:r w:rsidRPr="00385DCA">
        <w:rPr>
          <w:rFonts w:ascii="Calibri" w:hAnsi="Calibri" w:cs="Calibri"/>
          <w:sz w:val="24"/>
          <w:szCs w:val="24"/>
        </w:rPr>
        <w:t>attend</w:t>
      </w:r>
      <w:proofErr w:type="gramEnd"/>
      <w:r w:rsidRPr="00385DCA">
        <w:rPr>
          <w:rFonts w:ascii="Calibri" w:hAnsi="Calibri" w:cs="Calibri"/>
          <w:sz w:val="24"/>
          <w:szCs w:val="24"/>
        </w:rPr>
        <w:t xml:space="preserve"> a Workshop Raising Awareness of Prevent, and receive annual s</w:t>
      </w:r>
      <w:r w:rsidRPr="00385DCA">
        <w:rPr>
          <w:rFonts w:ascii="Calibri" w:hAnsi="Calibri" w:cs="Calibri"/>
          <w:sz w:val="24"/>
          <w:szCs w:val="24"/>
        </w:rPr>
        <w:t>afeguarding training updates.</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7.5 Some of the radicalisation risks, among other safeguarding concerns, are to be found on the internet, so our School’s Online Policy reflects this: appropriate levels of filtering ensure that our children are safe online f</w:t>
      </w:r>
      <w:r w:rsidRPr="00385DCA">
        <w:rPr>
          <w:rFonts w:ascii="Calibri" w:hAnsi="Calibri" w:cs="Calibri"/>
          <w:sz w:val="24"/>
          <w:szCs w:val="24"/>
        </w:rPr>
        <w:t>rom exposure to material posted by terrorists or their supporters when accessing the internet in school. This aspect of the policy exists alongside strategies to keep children safe from those who use the internet to bully, groom or abuse children. Our Scho</w:t>
      </w:r>
      <w:r w:rsidRPr="00385DCA">
        <w:rPr>
          <w:rFonts w:ascii="Calibri" w:hAnsi="Calibri" w:cs="Calibri"/>
          <w:sz w:val="24"/>
          <w:szCs w:val="24"/>
        </w:rPr>
        <w:t xml:space="preserve">ol offers children, parents and </w:t>
      </w:r>
      <w:proofErr w:type="spellStart"/>
      <w:r w:rsidRPr="00385DCA">
        <w:rPr>
          <w:rFonts w:ascii="Calibri" w:hAnsi="Calibri" w:cs="Calibri"/>
          <w:sz w:val="24"/>
          <w:szCs w:val="24"/>
        </w:rPr>
        <w:t>carers</w:t>
      </w:r>
      <w:proofErr w:type="spellEnd"/>
      <w:r w:rsidRPr="00385DCA">
        <w:rPr>
          <w:rFonts w:ascii="Calibri" w:hAnsi="Calibri" w:cs="Calibri"/>
          <w:sz w:val="24"/>
          <w:szCs w:val="24"/>
        </w:rPr>
        <w:t xml:space="preserve"> presentations and workshops to teach them how to keep themselves safe when using the internet outside of school.</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7.6 Visitors to school premises are provided with written information on safeguarding and health and sa</w:t>
      </w:r>
      <w:r w:rsidRPr="00385DCA">
        <w:rPr>
          <w:rFonts w:ascii="Calibri" w:hAnsi="Calibri" w:cs="Calibri"/>
          <w:sz w:val="24"/>
          <w:szCs w:val="24"/>
        </w:rPr>
        <w:t>fety policy, including Prevent Duty policy. Visitors are subject to appropriate safeguarding checks, and are never left unsupervised with children.</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7.7 Appropriate checks are made before our School enters into any agreement with a non-school group or </w:t>
      </w:r>
      <w:proofErr w:type="spellStart"/>
      <w:r w:rsidRPr="00385DCA">
        <w:rPr>
          <w:rFonts w:ascii="Calibri" w:hAnsi="Calibri" w:cs="Calibri"/>
          <w:sz w:val="24"/>
          <w:szCs w:val="24"/>
        </w:rPr>
        <w:t>orga</w:t>
      </w:r>
      <w:r w:rsidRPr="00385DCA">
        <w:rPr>
          <w:rFonts w:ascii="Calibri" w:hAnsi="Calibri" w:cs="Calibri"/>
          <w:sz w:val="24"/>
          <w:szCs w:val="24"/>
        </w:rPr>
        <w:t>nisation</w:t>
      </w:r>
      <w:proofErr w:type="spellEnd"/>
      <w:r w:rsidRPr="00385DCA">
        <w:rPr>
          <w:rFonts w:ascii="Calibri" w:hAnsi="Calibri" w:cs="Calibri"/>
          <w:sz w:val="24"/>
          <w:szCs w:val="24"/>
        </w:rPr>
        <w:t xml:space="preserve"> to use our School premises. Any such use will be monitored by staff.</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7.7 Guidance on the appropriate procedure for raising a concern may be found in Appendix 1 to this policy.</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pPr>
        <w:pStyle w:val="Body"/>
        <w:numPr>
          <w:ilvl w:val="0"/>
          <w:numId w:val="2"/>
        </w:numPr>
        <w:rPr>
          <w:rFonts w:ascii="Calibri" w:hAnsi="Calibri" w:cs="Calibri"/>
          <w:b/>
          <w:sz w:val="24"/>
          <w:szCs w:val="24"/>
          <w:u w:val="single"/>
        </w:rPr>
      </w:pPr>
      <w:r w:rsidRPr="00385DCA">
        <w:rPr>
          <w:rFonts w:ascii="Calibri" w:hAnsi="Calibri" w:cs="Calibri"/>
          <w:b/>
          <w:sz w:val="24"/>
          <w:szCs w:val="24"/>
          <w:u w:val="single"/>
        </w:rPr>
        <w:t>Review and amendment</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 xml:space="preserve">This policy is to be reviewed on an annual </w:t>
      </w:r>
      <w:r w:rsidRPr="00385DCA">
        <w:rPr>
          <w:rFonts w:ascii="Calibri" w:hAnsi="Calibri" w:cs="Calibri"/>
          <w:sz w:val="24"/>
          <w:szCs w:val="24"/>
        </w:rPr>
        <w:t>basis by the School safeguarding team and the Head Teacher, and re-approved annually by the Full Governing Body.</w:t>
      </w:r>
    </w:p>
    <w:p w:rsidR="005B2EA9" w:rsidRPr="00385DCA" w:rsidRDefault="005B2EA9">
      <w:pPr>
        <w:pStyle w:val="Body"/>
        <w:rPr>
          <w:rFonts w:ascii="Calibri" w:hAnsi="Calibri" w:cs="Calibri"/>
          <w:sz w:val="24"/>
          <w:szCs w:val="24"/>
        </w:rPr>
      </w:pPr>
    </w:p>
    <w:p w:rsidR="005B2EA9" w:rsidRPr="00385DCA" w:rsidRDefault="005B2EA9">
      <w:pPr>
        <w:pStyle w:val="Body"/>
        <w:rPr>
          <w:rFonts w:ascii="Calibri" w:hAnsi="Calibri" w:cs="Calibri"/>
          <w:sz w:val="24"/>
          <w:szCs w:val="24"/>
        </w:rPr>
      </w:pPr>
    </w:p>
    <w:p w:rsidR="005B2EA9" w:rsidRPr="00385DCA" w:rsidRDefault="00385DCA" w:rsidP="00385DCA">
      <w:pPr>
        <w:pStyle w:val="Body"/>
        <w:rPr>
          <w:rFonts w:ascii="Calibri" w:hAnsi="Calibri" w:cs="Calibri"/>
          <w:b/>
          <w:sz w:val="28"/>
          <w:szCs w:val="28"/>
          <w:u w:val="single"/>
        </w:rPr>
      </w:pPr>
      <w:r w:rsidRPr="00385DCA">
        <w:rPr>
          <w:rFonts w:ascii="Calibri" w:hAnsi="Calibri" w:cs="Calibri"/>
          <w:b/>
          <w:sz w:val="28"/>
          <w:szCs w:val="28"/>
          <w:u w:val="single"/>
        </w:rPr>
        <w:t>APPENDIX 1</w:t>
      </w:r>
    </w:p>
    <w:p w:rsidR="005B2EA9" w:rsidRPr="00385DCA" w:rsidRDefault="005B2EA9">
      <w:pPr>
        <w:pStyle w:val="Body"/>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Concerns can be reported to the Designated Safeguarding Lead, Prevent Single Point of Contact, or Governors at t</w:t>
      </w:r>
      <w:r w:rsidRPr="00385DCA">
        <w:rPr>
          <w:rFonts w:ascii="Calibri" w:hAnsi="Calibri" w:cs="Calibri"/>
          <w:sz w:val="24"/>
          <w:szCs w:val="24"/>
        </w:rPr>
        <w:t xml:space="preserve">he Oratory RC Primary and Nursery School on 0121 454 0600 or at </w:t>
      </w:r>
      <w:hyperlink r:id="rId10" w:history="1">
        <w:r w:rsidRPr="00385DCA">
          <w:rPr>
            <w:rStyle w:val="Hyperlink0"/>
            <w:rFonts w:ascii="Calibri" w:hAnsi="Calibri" w:cs="Calibri"/>
          </w:rPr>
          <w:t>enquiries@oratory.bham.sch.uk</w:t>
        </w:r>
      </w:hyperlink>
      <w:r w:rsidRPr="00385DCA">
        <w:rPr>
          <w:rFonts w:ascii="Calibri" w:hAnsi="Calibri" w:cs="Calibri"/>
          <w:sz w:val="24"/>
          <w:szCs w:val="24"/>
        </w:rPr>
        <w:t>.</w:t>
      </w:r>
    </w:p>
    <w:p w:rsidR="005B2EA9" w:rsidRPr="00385DCA" w:rsidRDefault="005B2EA9">
      <w:pPr>
        <w:pStyle w:val="Body"/>
        <w:jc w:val="both"/>
        <w:rPr>
          <w:rFonts w:ascii="Calibri" w:hAnsi="Calibri" w:cs="Calibri"/>
          <w:sz w:val="24"/>
          <w:szCs w:val="24"/>
        </w:rPr>
      </w:pPr>
    </w:p>
    <w:p w:rsidR="00385DCA" w:rsidRDefault="00385DCA" w:rsidP="00385DCA">
      <w:pPr>
        <w:pStyle w:val="Body"/>
        <w:jc w:val="both"/>
        <w:rPr>
          <w:rFonts w:ascii="Calibri" w:hAnsi="Calibri" w:cs="Calibri"/>
          <w:sz w:val="24"/>
          <w:szCs w:val="24"/>
        </w:rPr>
      </w:pPr>
      <w:r w:rsidRPr="00385DCA">
        <w:rPr>
          <w:rFonts w:ascii="Calibri" w:hAnsi="Calibri" w:cs="Calibri"/>
          <w:b/>
          <w:sz w:val="24"/>
          <w:szCs w:val="24"/>
        </w:rPr>
        <w:t>Designated Safeguarding Lead</w:t>
      </w:r>
      <w:r w:rsidRPr="00385DCA">
        <w:rPr>
          <w:rFonts w:ascii="Calibri" w:hAnsi="Calibri" w:cs="Calibri"/>
          <w:sz w:val="24"/>
          <w:szCs w:val="24"/>
        </w:rPr>
        <w:t xml:space="preserve">: </w:t>
      </w:r>
      <w:r w:rsidRPr="00385DCA">
        <w:rPr>
          <w:rFonts w:ascii="Calibri" w:hAnsi="Calibri" w:cs="Calibri"/>
          <w:sz w:val="24"/>
          <w:szCs w:val="24"/>
        </w:rPr>
        <w:tab/>
      </w:r>
    </w:p>
    <w:p w:rsidR="005B2EA9" w:rsidRPr="00385DCA" w:rsidRDefault="00385DCA" w:rsidP="00385DCA">
      <w:pPr>
        <w:pStyle w:val="Body"/>
        <w:jc w:val="both"/>
        <w:rPr>
          <w:rFonts w:ascii="Calibri" w:hAnsi="Calibri" w:cs="Calibri"/>
          <w:sz w:val="24"/>
          <w:szCs w:val="24"/>
        </w:rPr>
      </w:pPr>
      <w:proofErr w:type="spellStart"/>
      <w:r w:rsidRPr="00385DCA">
        <w:rPr>
          <w:rFonts w:ascii="Calibri" w:hAnsi="Calibri" w:cs="Calibri"/>
          <w:sz w:val="24"/>
          <w:szCs w:val="24"/>
        </w:rPr>
        <w:t>Mr</w:t>
      </w:r>
      <w:proofErr w:type="spellEnd"/>
      <w:r w:rsidRPr="00385DCA">
        <w:rPr>
          <w:rFonts w:ascii="Calibri" w:hAnsi="Calibri" w:cs="Calibri"/>
          <w:sz w:val="24"/>
          <w:szCs w:val="24"/>
        </w:rPr>
        <w:t xml:space="preserve"> Mark Paine (Deputy Head Teacher / Inclusion Manager)</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b/>
          <w:sz w:val="24"/>
          <w:szCs w:val="24"/>
        </w:rPr>
      </w:pPr>
      <w:r w:rsidRPr="00385DCA">
        <w:rPr>
          <w:rFonts w:ascii="Calibri" w:hAnsi="Calibri" w:cs="Calibri"/>
          <w:b/>
          <w:sz w:val="24"/>
          <w:szCs w:val="24"/>
        </w:rPr>
        <w:t>Deputy Designated Safeguarding Persons</w:t>
      </w:r>
      <w:r w:rsidRPr="00385DCA">
        <w:rPr>
          <w:rFonts w:ascii="Calibri" w:hAnsi="Calibri" w:cs="Calibri"/>
          <w:b/>
          <w:sz w:val="24"/>
          <w:szCs w:val="24"/>
        </w:rPr>
        <w:t>:</w:t>
      </w:r>
      <w:r w:rsidRPr="00385DCA">
        <w:rPr>
          <w:rFonts w:ascii="Calibri" w:hAnsi="Calibri" w:cs="Calibri"/>
          <w:b/>
          <w:sz w:val="24"/>
          <w:szCs w:val="24"/>
        </w:rPr>
        <w:tab/>
      </w:r>
    </w:p>
    <w:p w:rsidR="00385DCA" w:rsidRDefault="00385DCA">
      <w:pPr>
        <w:pStyle w:val="Body"/>
        <w:jc w:val="both"/>
        <w:rPr>
          <w:rFonts w:ascii="Calibri" w:hAnsi="Calibri" w:cs="Calibri"/>
          <w:sz w:val="24"/>
          <w:szCs w:val="24"/>
        </w:rPr>
      </w:pPr>
      <w:proofErr w:type="spellStart"/>
      <w:r w:rsidRPr="00385DCA">
        <w:rPr>
          <w:rFonts w:ascii="Calibri" w:hAnsi="Calibri" w:cs="Calibri"/>
          <w:sz w:val="24"/>
          <w:szCs w:val="24"/>
        </w:rPr>
        <w:t>Ms</w:t>
      </w:r>
      <w:proofErr w:type="spellEnd"/>
      <w:r w:rsidRPr="00385DCA">
        <w:rPr>
          <w:rFonts w:ascii="Calibri" w:hAnsi="Calibri" w:cs="Calibri"/>
          <w:sz w:val="24"/>
          <w:szCs w:val="24"/>
        </w:rPr>
        <w:t xml:space="preserve"> </w:t>
      </w:r>
      <w:proofErr w:type="spellStart"/>
      <w:r w:rsidRPr="00385DCA">
        <w:rPr>
          <w:rFonts w:ascii="Calibri" w:hAnsi="Calibri" w:cs="Calibri"/>
          <w:sz w:val="24"/>
          <w:szCs w:val="24"/>
        </w:rPr>
        <w:t>Paramjit</w:t>
      </w:r>
      <w:proofErr w:type="spellEnd"/>
      <w:r w:rsidRPr="00385DCA">
        <w:rPr>
          <w:rFonts w:ascii="Calibri" w:hAnsi="Calibri" w:cs="Calibri"/>
          <w:sz w:val="24"/>
          <w:szCs w:val="24"/>
        </w:rPr>
        <w:t xml:space="preserve"> </w:t>
      </w:r>
      <w:proofErr w:type="spellStart"/>
      <w:r w:rsidRPr="00385DCA">
        <w:rPr>
          <w:rFonts w:ascii="Calibri" w:hAnsi="Calibri" w:cs="Calibri"/>
          <w:sz w:val="24"/>
          <w:szCs w:val="24"/>
        </w:rPr>
        <w:t>Sall</w:t>
      </w:r>
      <w:proofErr w:type="spellEnd"/>
      <w:r w:rsidRPr="00385DCA">
        <w:rPr>
          <w:rFonts w:ascii="Calibri" w:hAnsi="Calibri" w:cs="Calibri"/>
          <w:sz w:val="24"/>
          <w:szCs w:val="24"/>
        </w:rPr>
        <w:t xml:space="preserve"> (School-based Social Worker)</w:t>
      </w:r>
    </w:p>
    <w:p w:rsidR="00385DCA" w:rsidRPr="00385DCA" w:rsidRDefault="00385DCA">
      <w:pPr>
        <w:pStyle w:val="Body"/>
        <w:jc w:val="both"/>
        <w:rPr>
          <w:rFonts w:ascii="Calibri" w:hAnsi="Calibri" w:cs="Calibri"/>
          <w:sz w:val="24"/>
          <w:szCs w:val="24"/>
        </w:rPr>
      </w:pPr>
      <w:proofErr w:type="spellStart"/>
      <w:r w:rsidRPr="00385DCA">
        <w:rPr>
          <w:rFonts w:ascii="Calibri" w:hAnsi="Calibri" w:cs="Calibri"/>
          <w:sz w:val="24"/>
          <w:szCs w:val="24"/>
        </w:rPr>
        <w:t>Mrs</w:t>
      </w:r>
      <w:proofErr w:type="spellEnd"/>
      <w:r w:rsidRPr="00385DCA">
        <w:rPr>
          <w:rFonts w:ascii="Calibri" w:hAnsi="Calibri" w:cs="Calibri"/>
          <w:sz w:val="24"/>
          <w:szCs w:val="24"/>
        </w:rPr>
        <w:t xml:space="preserve"> Clare Dickinson (Head Teacher)</w:t>
      </w:r>
      <w:r w:rsidRPr="00385DCA">
        <w:rPr>
          <w:rFonts w:ascii="Calibri" w:hAnsi="Calibri" w:cs="Calibri"/>
          <w:sz w:val="24"/>
          <w:szCs w:val="24"/>
        </w:rPr>
        <w:t xml:space="preserve"> </w:t>
      </w:r>
    </w:p>
    <w:p w:rsidR="005B2EA9" w:rsidRPr="00385DCA" w:rsidRDefault="005B2EA9">
      <w:pPr>
        <w:pStyle w:val="Body"/>
        <w:jc w:val="both"/>
        <w:rPr>
          <w:rFonts w:ascii="Calibri" w:hAnsi="Calibri" w:cs="Calibri"/>
          <w:sz w:val="24"/>
          <w:szCs w:val="24"/>
        </w:rPr>
      </w:pPr>
    </w:p>
    <w:p w:rsidR="00385DCA" w:rsidRPr="00385DCA" w:rsidRDefault="00385DCA">
      <w:pPr>
        <w:pStyle w:val="Body"/>
        <w:jc w:val="both"/>
        <w:rPr>
          <w:rFonts w:ascii="Calibri" w:hAnsi="Calibri" w:cs="Calibri"/>
          <w:b/>
          <w:sz w:val="24"/>
          <w:szCs w:val="24"/>
        </w:rPr>
      </w:pPr>
      <w:r w:rsidRPr="00385DCA">
        <w:rPr>
          <w:rFonts w:ascii="Calibri" w:hAnsi="Calibri" w:cs="Calibri"/>
          <w:b/>
          <w:sz w:val="24"/>
          <w:szCs w:val="24"/>
        </w:rPr>
        <w:t xml:space="preserve">Prevent Single Point of Contact: </w:t>
      </w:r>
    </w:p>
    <w:p w:rsidR="005B2EA9" w:rsidRPr="00385DCA" w:rsidRDefault="00385DCA">
      <w:pPr>
        <w:pStyle w:val="Body"/>
        <w:jc w:val="both"/>
        <w:rPr>
          <w:rFonts w:ascii="Calibri" w:hAnsi="Calibri" w:cs="Calibri"/>
          <w:sz w:val="24"/>
          <w:szCs w:val="24"/>
        </w:rPr>
      </w:pPr>
      <w:proofErr w:type="spellStart"/>
      <w:r w:rsidRPr="00385DCA">
        <w:rPr>
          <w:rFonts w:ascii="Calibri" w:hAnsi="Calibri" w:cs="Calibri"/>
          <w:sz w:val="24"/>
          <w:szCs w:val="24"/>
        </w:rPr>
        <w:t>Mrs</w:t>
      </w:r>
      <w:proofErr w:type="spellEnd"/>
      <w:r w:rsidRPr="00385DCA">
        <w:rPr>
          <w:rFonts w:ascii="Calibri" w:hAnsi="Calibri" w:cs="Calibri"/>
          <w:sz w:val="24"/>
          <w:szCs w:val="24"/>
        </w:rPr>
        <w:t xml:space="preserve"> Clare Dickinson (Head Teacher)</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sz w:val="24"/>
          <w:szCs w:val="24"/>
        </w:rPr>
      </w:pPr>
      <w:r w:rsidRPr="00385DCA">
        <w:rPr>
          <w:rFonts w:ascii="Calibri" w:hAnsi="Calibri" w:cs="Calibri"/>
          <w:sz w:val="24"/>
          <w:szCs w:val="24"/>
        </w:rPr>
        <w:t>Nominated Safeguarding Governor:</w:t>
      </w:r>
      <w:r w:rsidRPr="00385DCA">
        <w:rPr>
          <w:rFonts w:ascii="Calibri" w:hAnsi="Calibri" w:cs="Calibri"/>
          <w:sz w:val="24"/>
          <w:szCs w:val="24"/>
        </w:rPr>
        <w:tab/>
      </w:r>
      <w:proofErr w:type="spellStart"/>
      <w:r>
        <w:rPr>
          <w:rFonts w:ascii="Calibri" w:hAnsi="Calibri" w:cs="Calibri"/>
          <w:sz w:val="24"/>
          <w:szCs w:val="24"/>
        </w:rPr>
        <w:t>Mrs</w:t>
      </w:r>
      <w:proofErr w:type="spellEnd"/>
      <w:r>
        <w:rPr>
          <w:rFonts w:ascii="Calibri" w:hAnsi="Calibri" w:cs="Calibri"/>
          <w:sz w:val="24"/>
          <w:szCs w:val="24"/>
        </w:rPr>
        <w:t xml:space="preserve"> Frances </w:t>
      </w:r>
      <w:proofErr w:type="gramStart"/>
      <w:r>
        <w:rPr>
          <w:rFonts w:ascii="Calibri" w:hAnsi="Calibri" w:cs="Calibri"/>
          <w:sz w:val="24"/>
          <w:szCs w:val="24"/>
        </w:rPr>
        <w:t xml:space="preserve">Joseph </w:t>
      </w:r>
      <w:bookmarkStart w:id="0" w:name="_GoBack"/>
      <w:bookmarkEnd w:id="0"/>
      <w:r w:rsidRPr="00385DCA">
        <w:rPr>
          <w:rFonts w:ascii="Calibri" w:hAnsi="Calibri" w:cs="Calibri"/>
          <w:sz w:val="24"/>
          <w:szCs w:val="24"/>
        </w:rPr>
        <w:t xml:space="preserve"> (</w:t>
      </w:r>
      <w:proofErr w:type="gramEnd"/>
      <w:r w:rsidRPr="00385DCA">
        <w:rPr>
          <w:rFonts w:ascii="Calibri" w:hAnsi="Calibri" w:cs="Calibri"/>
          <w:sz w:val="24"/>
          <w:szCs w:val="24"/>
        </w:rPr>
        <w:t>Fou</w:t>
      </w:r>
      <w:r w:rsidRPr="00385DCA">
        <w:rPr>
          <w:rFonts w:ascii="Calibri" w:hAnsi="Calibri" w:cs="Calibri"/>
          <w:sz w:val="24"/>
          <w:szCs w:val="24"/>
        </w:rPr>
        <w:t>ndation Governor)</w:t>
      </w:r>
    </w:p>
    <w:p w:rsidR="005B2EA9" w:rsidRPr="00385DCA" w:rsidRDefault="005B2EA9">
      <w:pPr>
        <w:pStyle w:val="Body"/>
        <w:jc w:val="both"/>
        <w:rPr>
          <w:rFonts w:ascii="Calibri" w:hAnsi="Calibri" w:cs="Calibri"/>
          <w:sz w:val="24"/>
          <w:szCs w:val="24"/>
        </w:rPr>
      </w:pPr>
    </w:p>
    <w:p w:rsidR="005B2EA9" w:rsidRPr="00385DCA" w:rsidRDefault="00385DCA">
      <w:pPr>
        <w:pStyle w:val="Body"/>
        <w:jc w:val="both"/>
        <w:rPr>
          <w:rFonts w:ascii="Calibri" w:hAnsi="Calibri" w:cs="Calibri"/>
          <w:b/>
          <w:sz w:val="24"/>
          <w:szCs w:val="24"/>
          <w:u w:val="single"/>
        </w:rPr>
      </w:pPr>
      <w:r w:rsidRPr="00385DCA">
        <w:rPr>
          <w:rFonts w:ascii="Calibri" w:hAnsi="Calibri" w:cs="Calibri"/>
          <w:b/>
          <w:sz w:val="24"/>
          <w:szCs w:val="24"/>
          <w:u w:val="single"/>
        </w:rPr>
        <w:t>West Midlands Police</w:t>
      </w:r>
    </w:p>
    <w:p w:rsidR="005B2EA9" w:rsidRPr="00385DCA" w:rsidRDefault="005B2EA9">
      <w:pPr>
        <w:pStyle w:val="Body"/>
        <w:jc w:val="both"/>
        <w:rPr>
          <w:rFonts w:ascii="Calibri" w:hAnsi="Calibri" w:cs="Calibri"/>
          <w:sz w:val="24"/>
          <w:szCs w:val="24"/>
        </w:rPr>
      </w:pPr>
    </w:p>
    <w:p w:rsidR="005B2EA9" w:rsidRPr="00385DCA" w:rsidRDefault="00385DCA" w:rsidP="00385DCA">
      <w:pPr>
        <w:pStyle w:val="Body"/>
        <w:rPr>
          <w:rFonts w:ascii="Calibri" w:hAnsi="Calibri" w:cs="Calibri"/>
          <w:sz w:val="24"/>
          <w:szCs w:val="24"/>
        </w:rPr>
      </w:pPr>
      <w:r w:rsidRPr="00385DCA">
        <w:rPr>
          <w:rFonts w:ascii="Calibri" w:hAnsi="Calibri" w:cs="Calibri"/>
          <w:sz w:val="24"/>
          <w:szCs w:val="24"/>
        </w:rPr>
        <w:t>Concerns can also be reported directly to the police who have specially trained Prevent officers, members of the West Midlands Counter-Terrorist unit dedicated to working on the Prevent strand of the Contest Strat</w:t>
      </w:r>
      <w:r w:rsidRPr="00385DCA">
        <w:rPr>
          <w:rFonts w:ascii="Calibri" w:hAnsi="Calibri" w:cs="Calibri"/>
          <w:sz w:val="24"/>
          <w:szCs w:val="24"/>
        </w:rPr>
        <w:t xml:space="preserve">egy: </w:t>
      </w:r>
      <w:hyperlink r:id="rId11" w:history="1">
        <w:r w:rsidRPr="00385DCA">
          <w:rPr>
            <w:rStyle w:val="Hyperlink0"/>
            <w:rFonts w:ascii="Calibri" w:hAnsi="Calibri" w:cs="Calibri"/>
          </w:rPr>
          <w:t>prevent@west-midlands.police.uk</w:t>
        </w:r>
      </w:hyperlink>
      <w:r w:rsidRPr="00385DCA">
        <w:rPr>
          <w:rFonts w:ascii="Calibri" w:hAnsi="Calibri" w:cs="Calibri"/>
          <w:sz w:val="24"/>
          <w:szCs w:val="24"/>
        </w:rPr>
        <w:t xml:space="preserve">; </w:t>
      </w:r>
      <w:hyperlink r:id="rId12" w:history="1">
        <w:r w:rsidRPr="00385DCA">
          <w:rPr>
            <w:rStyle w:val="Hyperlink0"/>
            <w:rFonts w:ascii="Calibri" w:hAnsi="Calibri" w:cs="Calibri"/>
          </w:rPr>
          <w:t>www.facebook.com/wmctupreventteam</w:t>
        </w:r>
      </w:hyperlink>
    </w:p>
    <w:p w:rsidR="005B2EA9" w:rsidRPr="00385DCA" w:rsidRDefault="005B2EA9" w:rsidP="00385DCA">
      <w:pPr>
        <w:pStyle w:val="Body"/>
        <w:rPr>
          <w:rFonts w:ascii="Calibri" w:hAnsi="Calibri" w:cs="Calibri"/>
          <w:sz w:val="24"/>
          <w:szCs w:val="24"/>
        </w:rPr>
      </w:pPr>
    </w:p>
    <w:p w:rsidR="005B2EA9" w:rsidRPr="00385DCA" w:rsidRDefault="00385DCA" w:rsidP="00385DCA">
      <w:pPr>
        <w:pStyle w:val="Body"/>
        <w:rPr>
          <w:rFonts w:ascii="Calibri" w:hAnsi="Calibri" w:cs="Calibri"/>
          <w:sz w:val="24"/>
          <w:szCs w:val="24"/>
        </w:rPr>
      </w:pPr>
      <w:proofErr w:type="gramStart"/>
      <w:r w:rsidRPr="00385DCA">
        <w:rPr>
          <w:rFonts w:ascii="Calibri" w:hAnsi="Calibri" w:cs="Calibri"/>
          <w:sz w:val="24"/>
          <w:szCs w:val="24"/>
        </w:rPr>
        <w:t>To report non-emergency concerns, call the confidential Anti-Terrorist Ho</w:t>
      </w:r>
      <w:r w:rsidRPr="00385DCA">
        <w:rPr>
          <w:rFonts w:ascii="Calibri" w:hAnsi="Calibri" w:cs="Calibri"/>
          <w:sz w:val="24"/>
          <w:szCs w:val="24"/>
        </w:rPr>
        <w:t>tline on 0800 789 321.</w:t>
      </w:r>
      <w:proofErr w:type="gramEnd"/>
    </w:p>
    <w:p w:rsidR="005B2EA9" w:rsidRPr="00385DCA" w:rsidRDefault="005B2EA9" w:rsidP="00385DCA">
      <w:pPr>
        <w:pStyle w:val="Body"/>
        <w:rPr>
          <w:rFonts w:ascii="Calibri" w:hAnsi="Calibri" w:cs="Calibri"/>
          <w:sz w:val="24"/>
          <w:szCs w:val="24"/>
        </w:rPr>
      </w:pPr>
    </w:p>
    <w:p w:rsidR="00385DCA" w:rsidRPr="00385DCA" w:rsidRDefault="00385DCA" w:rsidP="00385DCA">
      <w:pPr>
        <w:pStyle w:val="Body"/>
        <w:rPr>
          <w:rFonts w:ascii="Calibri" w:hAnsi="Calibri" w:cs="Calibri"/>
          <w:sz w:val="24"/>
          <w:szCs w:val="24"/>
        </w:rPr>
      </w:pPr>
      <w:r w:rsidRPr="00385DCA">
        <w:rPr>
          <w:rFonts w:ascii="Calibri" w:hAnsi="Calibri" w:cs="Calibri"/>
          <w:sz w:val="24"/>
          <w:szCs w:val="24"/>
        </w:rPr>
        <w:t>I</w:t>
      </w:r>
      <w:r>
        <w:rPr>
          <w:rFonts w:ascii="Calibri" w:hAnsi="Calibri" w:cs="Calibri"/>
          <w:sz w:val="24"/>
          <w:szCs w:val="24"/>
        </w:rPr>
        <w:t>n an emergency, always dial 999</w:t>
      </w:r>
    </w:p>
    <w:sectPr w:rsidR="00385DCA" w:rsidRPr="00385DCA">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DCA">
      <w:r>
        <w:separator/>
      </w:r>
    </w:p>
  </w:endnote>
  <w:endnote w:type="continuationSeparator" w:id="0">
    <w:p w:rsidR="00000000" w:rsidRDefault="0038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12242"/>
      <w:docPartObj>
        <w:docPartGallery w:val="Page Numbers (Bottom of Page)"/>
        <w:docPartUnique/>
      </w:docPartObj>
    </w:sdtPr>
    <w:sdtContent>
      <w:sdt>
        <w:sdtPr>
          <w:id w:val="-1669238322"/>
          <w:docPartObj>
            <w:docPartGallery w:val="Page Numbers (Top of Page)"/>
            <w:docPartUnique/>
          </w:docPartObj>
        </w:sdtPr>
        <w:sdtContent>
          <w:p w:rsidR="00385DCA" w:rsidRDefault="00385D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5B2EA9" w:rsidRDefault="005B2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A9" w:rsidRDefault="00385DCA">
      <w:r>
        <w:separator/>
      </w:r>
    </w:p>
  </w:footnote>
  <w:footnote w:type="continuationSeparator" w:id="0">
    <w:p w:rsidR="005B2EA9" w:rsidRDefault="00385DCA">
      <w:r>
        <w:continuationSeparator/>
      </w:r>
    </w:p>
  </w:footnote>
  <w:footnote w:type="continuationNotice" w:id="1">
    <w:p w:rsidR="005B2EA9" w:rsidRDefault="005B2EA9"/>
  </w:footnote>
  <w:footnote w:id="2">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HM Government, </w:t>
      </w:r>
      <w:r>
        <w:rPr>
          <w:rFonts w:eastAsia="Arial Unicode MS" w:cs="Arial Unicode MS"/>
          <w:i/>
          <w:iCs/>
          <w:lang w:val="en-US"/>
        </w:rPr>
        <w:t>Revised Prevent Duty Guidance for England and Wales</w:t>
      </w:r>
      <w:r>
        <w:rPr>
          <w:rFonts w:eastAsia="Arial Unicode MS" w:cs="Arial Unicode MS"/>
          <w:lang w:val="en-US"/>
        </w:rPr>
        <w:t>, 16 July 2015, p.21</w:t>
      </w:r>
    </w:p>
  </w:footnote>
  <w:footnote w:id="3">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HM Government, </w:t>
      </w:r>
      <w:r>
        <w:rPr>
          <w:rFonts w:eastAsia="Arial Unicode MS" w:cs="Arial Unicode MS"/>
          <w:i/>
          <w:iCs/>
          <w:lang w:val="en-US"/>
        </w:rPr>
        <w:t xml:space="preserve">Revised </w:t>
      </w:r>
      <w:r>
        <w:rPr>
          <w:rFonts w:eastAsia="Arial Unicode MS" w:cs="Arial Unicode MS"/>
          <w:i/>
          <w:iCs/>
          <w:lang w:val="en-US"/>
        </w:rPr>
        <w:t>Prevent Duty Guidance for England and Wales</w:t>
      </w:r>
      <w:r>
        <w:rPr>
          <w:rFonts w:eastAsia="Arial Unicode MS" w:cs="Arial Unicode MS"/>
          <w:lang w:val="en-US"/>
        </w:rPr>
        <w:t>, 16 July 2015, p.10</w:t>
      </w:r>
    </w:p>
  </w:footnote>
  <w:footnote w:id="4">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HM Government, </w:t>
      </w:r>
      <w:r>
        <w:rPr>
          <w:rFonts w:eastAsia="Arial Unicode MS" w:cs="Arial Unicode MS"/>
          <w:i/>
          <w:iCs/>
          <w:lang w:val="en-US"/>
        </w:rPr>
        <w:t>Revised Prevent Duty Guidance for England and Wales</w:t>
      </w:r>
      <w:r>
        <w:rPr>
          <w:rFonts w:eastAsia="Arial Unicode MS" w:cs="Arial Unicode MS"/>
          <w:lang w:val="en-US"/>
        </w:rPr>
        <w:t>, 16 July 2015, p.11</w:t>
      </w:r>
    </w:p>
  </w:footnote>
  <w:footnote w:id="5">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HM Government, </w:t>
      </w:r>
      <w:r>
        <w:rPr>
          <w:rFonts w:eastAsia="Arial Unicode MS" w:cs="Arial Unicode MS"/>
          <w:i/>
          <w:iCs/>
          <w:lang w:val="en-US"/>
        </w:rPr>
        <w:t>Revised Prevent Duty Guidance for England and Wales</w:t>
      </w:r>
      <w:r>
        <w:rPr>
          <w:rFonts w:eastAsia="Arial Unicode MS" w:cs="Arial Unicode MS"/>
          <w:lang w:val="en-US"/>
        </w:rPr>
        <w:t>, 16 July 2015, p.21, cf. Home Offi</w:t>
      </w:r>
      <w:r>
        <w:rPr>
          <w:rFonts w:eastAsia="Arial Unicode MS" w:cs="Arial Unicode MS"/>
          <w:lang w:val="en-US"/>
        </w:rPr>
        <w:t>ce, The Prevent Strategy, June 2011, p.107.</w:t>
      </w:r>
    </w:p>
  </w:footnote>
  <w:footnote w:id="6">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Home Office, </w:t>
      </w:r>
      <w:r>
        <w:rPr>
          <w:rFonts w:eastAsia="Arial Unicode MS" w:cs="Arial Unicode MS"/>
          <w:i/>
          <w:iCs/>
          <w:lang w:val="en-US"/>
        </w:rPr>
        <w:t>The Prevent Strategy</w:t>
      </w:r>
      <w:r>
        <w:rPr>
          <w:rFonts w:eastAsia="Arial Unicode MS" w:cs="Arial Unicode MS"/>
          <w:lang w:val="en-US"/>
        </w:rPr>
        <w:t>, June 2011, p.34, n.6.60</w:t>
      </w:r>
    </w:p>
  </w:footnote>
  <w:footnote w:id="7">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Department for Education, </w:t>
      </w:r>
      <w:r>
        <w:rPr>
          <w:rFonts w:eastAsia="Arial Unicode MS" w:cs="Arial Unicode MS"/>
          <w:i/>
          <w:iCs/>
          <w:lang w:val="en-US"/>
        </w:rPr>
        <w:t>Promoting fundamental British values as part of SMSC in schools: Departmental advice for maintained schools</w:t>
      </w:r>
      <w:r>
        <w:rPr>
          <w:rFonts w:eastAsia="Arial Unicode MS" w:cs="Arial Unicode MS"/>
          <w:lang w:val="en-US"/>
        </w:rPr>
        <w:t>, November 2014,</w:t>
      </w:r>
      <w:r>
        <w:rPr>
          <w:rFonts w:eastAsia="Arial Unicode MS" w:cs="Arial Unicode MS"/>
          <w:lang w:val="en-US"/>
        </w:rPr>
        <w:t xml:space="preserve"> p.5</w:t>
      </w:r>
    </w:p>
  </w:footnote>
  <w:footnote w:id="8">
    <w:p w:rsidR="005B2EA9" w:rsidRDefault="00385DCA">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Ofsted</w:t>
      </w:r>
      <w:proofErr w:type="spellEnd"/>
      <w:r>
        <w:rPr>
          <w:rFonts w:eastAsia="Arial Unicode MS" w:cs="Arial Unicode MS"/>
          <w:lang w:val="en-US"/>
        </w:rPr>
        <w:t>, School inspection handbook, August 2015, 135, p.36</w:t>
      </w:r>
    </w:p>
  </w:footnote>
  <w:footnote w:id="9">
    <w:p w:rsidR="005B2EA9" w:rsidRDefault="00385DCA">
      <w:pPr>
        <w:pStyle w:val="Footnote"/>
      </w:pPr>
      <w:r>
        <w:rPr>
          <w:vertAlign w:val="superscript"/>
        </w:rPr>
        <w:footnoteRef/>
      </w:r>
      <w:r>
        <w:rPr>
          <w:rFonts w:eastAsia="Arial Unicode MS" w:cs="Arial Unicode MS"/>
          <w:lang w:val="en-US"/>
        </w:rPr>
        <w:t xml:space="preserve"> </w:t>
      </w:r>
      <w:proofErr w:type="spellStart"/>
      <w:r>
        <w:rPr>
          <w:rFonts w:eastAsia="Arial Unicode MS" w:cs="Arial Unicode MS"/>
          <w:lang w:val="en-US"/>
        </w:rPr>
        <w:t>Ofsted</w:t>
      </w:r>
      <w:proofErr w:type="spellEnd"/>
      <w:r>
        <w:rPr>
          <w:rFonts w:eastAsia="Arial Unicode MS" w:cs="Arial Unicode MS"/>
          <w:lang w:val="en-US"/>
        </w:rPr>
        <w:t>, School inspection handbook, August 2015, 138</w:t>
      </w:r>
      <w:r>
        <w:rPr>
          <w:rFonts w:eastAsia="Arial Unicode MS" w:cs="Arial Unicode MS"/>
        </w:rPr>
        <w:t>, p.3</w:t>
      </w:r>
      <w:r>
        <w:rPr>
          <w:rFonts w:eastAsia="Arial Unicode MS" w:cs="Arial Unicode MS"/>
          <w:lang w:val="en-US"/>
        </w:rPr>
        <w:t>8</w:t>
      </w:r>
    </w:p>
  </w:footnote>
  <w:footnote w:id="10">
    <w:p w:rsidR="005B2EA9" w:rsidRDefault="00385DCA">
      <w:pPr>
        <w:pStyle w:val="Footnote"/>
      </w:pPr>
      <w:r>
        <w:rPr>
          <w:vertAlign w:val="superscript"/>
        </w:rPr>
        <w:footnoteRef/>
      </w:r>
      <w:r>
        <w:rPr>
          <w:rFonts w:eastAsia="Arial Unicode MS" w:cs="Arial Unicode MS"/>
          <w:lang w:val="en-US"/>
        </w:rPr>
        <w:t xml:space="preserve"> Department for Education, </w:t>
      </w:r>
      <w:r>
        <w:rPr>
          <w:rFonts w:eastAsia="Arial Unicode MS" w:cs="Arial Unicode MS"/>
          <w:i/>
          <w:iCs/>
          <w:lang w:val="en-US"/>
        </w:rPr>
        <w:t>Promoting fundamental British values as part of SMSC in schools: Departmental advice for maintained s</w:t>
      </w:r>
      <w:r>
        <w:rPr>
          <w:rFonts w:eastAsia="Arial Unicode MS" w:cs="Arial Unicode MS"/>
          <w:i/>
          <w:iCs/>
          <w:lang w:val="en-US"/>
        </w:rPr>
        <w:t>chools</w:t>
      </w:r>
      <w:r>
        <w:rPr>
          <w:rFonts w:eastAsia="Arial Unicode MS" w:cs="Arial Unicode MS"/>
        </w:rPr>
        <w:t>, November 2014, p.</w:t>
      </w:r>
      <w:r>
        <w:rPr>
          <w:rFonts w:eastAsia="Arial Unicode MS" w:cs="Arial Unicode MS"/>
          <w:lang w:val="en-US"/>
        </w:rPr>
        <w:t>4</w:t>
      </w:r>
    </w:p>
  </w:footnote>
  <w:footnote w:id="11">
    <w:p w:rsidR="005B2EA9" w:rsidRDefault="00385DCA">
      <w:pPr>
        <w:pStyle w:val="Footnote"/>
      </w:pPr>
      <w:r>
        <w:rPr>
          <w:vertAlign w:val="superscript"/>
        </w:rPr>
        <w:footnoteRef/>
      </w:r>
      <w:r>
        <w:rPr>
          <w:rFonts w:eastAsia="Arial Unicode MS" w:cs="Arial Unicode MS"/>
          <w:lang w:val="en-US"/>
        </w:rPr>
        <w:t xml:space="preserve"> Department for Education, </w:t>
      </w:r>
      <w:r>
        <w:rPr>
          <w:rFonts w:eastAsia="Arial Unicode MS" w:cs="Arial Unicode MS"/>
          <w:i/>
          <w:iCs/>
          <w:lang w:val="en-US"/>
        </w:rPr>
        <w:t>Promoting fundamental British values as part of SMSC in schools: Departmental advice for maintained schools</w:t>
      </w:r>
      <w:r>
        <w:rPr>
          <w:rFonts w:eastAsia="Arial Unicode MS" w:cs="Arial Unicode MS"/>
        </w:rPr>
        <w:t>, November 2014, p.</w:t>
      </w:r>
      <w:r>
        <w:rPr>
          <w:rFonts w:eastAsia="Arial Unicode MS" w:cs="Arial Unicode MS"/>
          <w:lang w:val="en-US"/>
        </w:rPr>
        <w:t>6</w:t>
      </w:r>
    </w:p>
  </w:footnote>
  <w:footnote w:id="12">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Genesis 1:26, 27</w:t>
      </w:r>
    </w:p>
  </w:footnote>
  <w:footnote w:id="13">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w:t>
      </w:r>
      <w:r>
        <w:rPr>
          <w:rFonts w:eastAsia="Arial Unicode MS" w:cs="Arial Unicode MS"/>
          <w:lang w:val="en-US"/>
        </w:rPr>
        <w:t>999), 1878</w:t>
      </w:r>
    </w:p>
  </w:footnote>
  <w:footnote w:id="14">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 1917, 2229</w:t>
      </w:r>
    </w:p>
  </w:footnote>
  <w:footnote w:id="15">
    <w:p w:rsidR="005B2EA9" w:rsidRDefault="00385DCA">
      <w:pPr>
        <w:pStyle w:val="Footnote"/>
      </w:pPr>
      <w:r>
        <w:rPr>
          <w:vertAlign w:val="superscript"/>
        </w:rPr>
        <w:footnoteRef/>
      </w:r>
      <w:r>
        <w:rPr>
          <w:rFonts w:eastAsia="Arial Unicode MS" w:cs="Arial Unicode MS"/>
        </w:rPr>
        <w:t xml:space="preserve"> </w:t>
      </w:r>
      <w:proofErr w:type="spellStart"/>
      <w:r>
        <w:rPr>
          <w:rFonts w:eastAsia="Arial Unicode MS" w:cs="Arial Unicode MS"/>
          <w:lang w:val="en-US"/>
        </w:rPr>
        <w:t>Mgr</w:t>
      </w:r>
      <w:proofErr w:type="spellEnd"/>
      <w:r>
        <w:rPr>
          <w:rFonts w:eastAsia="Arial Unicode MS" w:cs="Arial Unicode MS"/>
          <w:lang w:val="en-US"/>
        </w:rPr>
        <w:t xml:space="preserve"> Marcus Stock, </w:t>
      </w:r>
      <w:r>
        <w:rPr>
          <w:rFonts w:eastAsia="Arial Unicode MS" w:cs="Arial Unicode MS"/>
          <w:i/>
          <w:iCs/>
          <w:lang w:val="en-US"/>
        </w:rPr>
        <w:t>Christ at the Centre</w:t>
      </w:r>
      <w:r>
        <w:rPr>
          <w:rFonts w:eastAsia="Arial Unicode MS" w:cs="Arial Unicode MS"/>
          <w:lang w:val="en-US"/>
        </w:rPr>
        <w:t>, CTS, 2012</w:t>
      </w:r>
    </w:p>
  </w:footnote>
  <w:footnote w:id="16">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Pope Saint John Paul II, </w:t>
      </w:r>
      <w:proofErr w:type="spellStart"/>
      <w:r>
        <w:rPr>
          <w:rFonts w:eastAsia="Arial Unicode MS" w:cs="Arial Unicode MS"/>
          <w:i/>
          <w:iCs/>
          <w:lang w:val="en-US"/>
        </w:rPr>
        <w:t>Evangelium</w:t>
      </w:r>
      <w:proofErr w:type="spellEnd"/>
      <w:r>
        <w:rPr>
          <w:rFonts w:eastAsia="Arial Unicode MS" w:cs="Arial Unicode MS"/>
          <w:i/>
          <w:iCs/>
          <w:lang w:val="en-US"/>
        </w:rPr>
        <w:t xml:space="preserve"> vitae</w:t>
      </w:r>
      <w:r>
        <w:rPr>
          <w:rFonts w:eastAsia="Arial Unicode MS" w:cs="Arial Unicode MS"/>
          <w:lang w:val="en-US"/>
        </w:rPr>
        <w:t>, 25 March 1995, 71</w:t>
      </w:r>
    </w:p>
  </w:footnote>
  <w:footnote w:id="17">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Pope Saint John Paul II, </w:t>
      </w:r>
      <w:proofErr w:type="spellStart"/>
      <w:r>
        <w:rPr>
          <w:rFonts w:eastAsia="Arial Unicode MS" w:cs="Arial Unicode MS"/>
          <w:i/>
          <w:iCs/>
          <w:lang w:val="en-US"/>
        </w:rPr>
        <w:t>Dilecti</w:t>
      </w:r>
      <w:proofErr w:type="spellEnd"/>
      <w:r>
        <w:rPr>
          <w:rFonts w:eastAsia="Arial Unicode MS" w:cs="Arial Unicode MS"/>
          <w:i/>
          <w:iCs/>
          <w:lang w:val="en-US"/>
        </w:rPr>
        <w:t xml:space="preserve"> amici</w:t>
      </w:r>
      <w:r>
        <w:rPr>
          <w:rFonts w:eastAsia="Arial Unicode MS" w:cs="Arial Unicode MS"/>
          <w:lang w:val="en-US"/>
        </w:rPr>
        <w:t>, 31 March 1985, 4</w:t>
      </w:r>
    </w:p>
  </w:footnote>
  <w:footnote w:id="18">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1939</w:t>
      </w:r>
    </w:p>
  </w:footnote>
  <w:footnote w:id="19">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1879</w:t>
      </w:r>
    </w:p>
  </w:footnote>
  <w:footnote w:id="20">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1933</w:t>
      </w:r>
    </w:p>
  </w:footnote>
  <w:footnote w:id="21">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w:t>
      </w:r>
      <w:r>
        <w:rPr>
          <w:rFonts w:eastAsia="Arial Unicode MS" w:cs="Arial Unicode MS"/>
          <w:lang w:val="en-US"/>
        </w:rPr>
        <w:t>700</w:t>
      </w:r>
    </w:p>
  </w:footnote>
  <w:footnote w:id="22">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2104</w:t>
      </w:r>
    </w:p>
  </w:footnote>
  <w:footnote w:id="23">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Second Vatican Council, </w:t>
      </w:r>
      <w:proofErr w:type="spellStart"/>
      <w:r>
        <w:rPr>
          <w:rFonts w:eastAsia="Arial Unicode MS" w:cs="Arial Unicode MS"/>
          <w:i/>
          <w:iCs/>
          <w:lang w:val="en-US"/>
        </w:rPr>
        <w:t>Dignitatis</w:t>
      </w:r>
      <w:proofErr w:type="spellEnd"/>
      <w:r>
        <w:rPr>
          <w:rFonts w:eastAsia="Arial Unicode MS" w:cs="Arial Unicode MS"/>
          <w:i/>
          <w:iCs/>
          <w:lang w:val="en-US"/>
        </w:rPr>
        <w:t xml:space="preserve"> </w:t>
      </w:r>
      <w:proofErr w:type="spellStart"/>
      <w:r>
        <w:rPr>
          <w:rFonts w:eastAsia="Arial Unicode MS" w:cs="Arial Unicode MS"/>
          <w:i/>
          <w:iCs/>
          <w:lang w:val="en-US"/>
        </w:rPr>
        <w:t>humanae</w:t>
      </w:r>
      <w:proofErr w:type="spellEnd"/>
      <w:r>
        <w:rPr>
          <w:rFonts w:eastAsia="Arial Unicode MS" w:cs="Arial Unicode MS"/>
          <w:lang w:val="en-US"/>
        </w:rPr>
        <w:t>, 7 December 1965, 2</w:t>
      </w:r>
    </w:p>
  </w:footnote>
  <w:footnote w:id="24">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1730</w:t>
      </w:r>
    </w:p>
  </w:footnote>
  <w:footnote w:id="25">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lang w:val="en-US"/>
        </w:rPr>
        <w:t>),</w:t>
      </w:r>
      <w:r>
        <w:rPr>
          <w:rFonts w:eastAsia="Arial Unicode MS" w:cs="Arial Unicode MS"/>
        </w:rPr>
        <w:t xml:space="preserve"> </w:t>
      </w:r>
      <w:r>
        <w:rPr>
          <w:rFonts w:eastAsia="Arial Unicode MS" w:cs="Arial Unicode MS"/>
          <w:lang w:val="en-US"/>
        </w:rPr>
        <w:t>2212</w:t>
      </w:r>
    </w:p>
  </w:footnote>
  <w:footnote w:id="26">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1905, 1934</w:t>
      </w:r>
    </w:p>
  </w:footnote>
  <w:footnote w:id="27">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 1879</w:t>
      </w:r>
    </w:p>
  </w:footnote>
  <w:footnote w:id="28">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1932</w:t>
      </w:r>
    </w:p>
  </w:footnote>
  <w:footnote w:id="29">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Romans 13:1-2; 1 Peter 2: 13-17</w:t>
      </w:r>
    </w:p>
  </w:footnote>
  <w:footnote w:id="30">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 xml:space="preserve">Catechism </w:t>
      </w:r>
      <w:r>
        <w:rPr>
          <w:rFonts w:eastAsia="Arial Unicode MS" w:cs="Arial Unicode MS"/>
          <w:i/>
          <w:iCs/>
          <w:lang w:val="en-US"/>
        </w:rPr>
        <w:t>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1900</w:t>
      </w:r>
    </w:p>
  </w:footnote>
  <w:footnote w:id="31">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1913 - 1917</w:t>
      </w:r>
    </w:p>
  </w:footnote>
  <w:footnote w:id="32">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i/>
          <w:iCs/>
          <w:lang w:val="en-US"/>
        </w:rPr>
        <w:t>Catechism of the Catholic Church</w:t>
      </w:r>
      <w:r>
        <w:rPr>
          <w:rFonts w:eastAsia="Arial Unicode MS" w:cs="Arial Unicode MS"/>
          <w:lang w:val="en-US"/>
        </w:rPr>
        <w:t>, revised edition (1999),</w:t>
      </w:r>
      <w:r>
        <w:rPr>
          <w:rFonts w:eastAsia="Arial Unicode MS" w:cs="Arial Unicode MS"/>
        </w:rPr>
        <w:t xml:space="preserve"> </w:t>
      </w:r>
      <w:r>
        <w:rPr>
          <w:rFonts w:eastAsia="Arial Unicode MS" w:cs="Arial Unicode MS"/>
          <w:lang w:val="en-US"/>
        </w:rPr>
        <w:t>1902</w:t>
      </w:r>
    </w:p>
  </w:footnote>
  <w:footnote w:id="33">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Pope Saint John Paul II, </w:t>
      </w:r>
      <w:proofErr w:type="spellStart"/>
      <w:r>
        <w:rPr>
          <w:rFonts w:eastAsia="Arial Unicode MS" w:cs="Arial Unicode MS"/>
          <w:i/>
          <w:iCs/>
          <w:lang w:val="en-US"/>
        </w:rPr>
        <w:t>Centesimus</w:t>
      </w:r>
      <w:proofErr w:type="spellEnd"/>
      <w:r>
        <w:rPr>
          <w:rFonts w:eastAsia="Arial Unicode MS" w:cs="Arial Unicode MS"/>
          <w:i/>
          <w:iCs/>
          <w:lang w:val="en-US"/>
        </w:rPr>
        <w:t xml:space="preserve"> </w:t>
      </w:r>
      <w:proofErr w:type="spellStart"/>
      <w:r>
        <w:rPr>
          <w:rFonts w:eastAsia="Arial Unicode MS" w:cs="Arial Unicode MS"/>
          <w:i/>
          <w:iCs/>
          <w:lang w:val="en-US"/>
        </w:rPr>
        <w:t>annus</w:t>
      </w:r>
      <w:proofErr w:type="spellEnd"/>
      <w:r>
        <w:rPr>
          <w:rFonts w:eastAsia="Arial Unicode MS" w:cs="Arial Unicode MS"/>
          <w:lang w:val="en-US"/>
        </w:rPr>
        <w:t>, 1 May 1991, 44</w:t>
      </w:r>
    </w:p>
  </w:footnote>
  <w:footnote w:id="34">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Gala</w:t>
      </w:r>
      <w:r>
        <w:rPr>
          <w:rFonts w:eastAsia="Arial Unicode MS" w:cs="Arial Unicode MS"/>
          <w:lang w:val="en-US"/>
        </w:rPr>
        <w:t>tians 5: 22-23</w:t>
      </w:r>
    </w:p>
  </w:footnote>
  <w:footnote w:id="35">
    <w:p w:rsidR="005B2EA9" w:rsidRDefault="00385DCA">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HM Government, </w:t>
      </w:r>
      <w:r>
        <w:rPr>
          <w:rFonts w:eastAsia="Arial Unicode MS" w:cs="Arial Unicode MS"/>
          <w:i/>
          <w:iCs/>
          <w:lang w:val="en-US"/>
        </w:rPr>
        <w:t>Revised Prevent Duty Guidance for England and Wales</w:t>
      </w:r>
      <w:r>
        <w:rPr>
          <w:rFonts w:eastAsia="Arial Unicode MS" w:cs="Arial Unicode MS"/>
          <w:lang w:val="en-US"/>
        </w:rPr>
        <w:t>, 16 July 2015, p.21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321"/>
    <w:multiLevelType w:val="hybridMultilevel"/>
    <w:tmpl w:val="92BCAAFC"/>
    <w:styleLink w:val="Numbered"/>
    <w:lvl w:ilvl="0" w:tplc="FD309D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264B6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5E79C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B2D68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4AC4D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105A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CE892E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B126D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BEAE44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D4C3CF7"/>
    <w:multiLevelType w:val="hybridMultilevel"/>
    <w:tmpl w:val="168E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25594B"/>
    <w:multiLevelType w:val="hybridMultilevel"/>
    <w:tmpl w:val="C68EB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160968"/>
    <w:multiLevelType w:val="hybridMultilevel"/>
    <w:tmpl w:val="92BCAAFC"/>
    <w:numStyleLink w:val="Numbered"/>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B2EA9"/>
    <w:rsid w:val="00385DCA"/>
    <w:rsid w:val="005B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sz w:val="24"/>
      <w:szCs w:val="24"/>
      <w:u w:val="single"/>
    </w:rPr>
  </w:style>
  <w:style w:type="table" w:customStyle="1" w:styleId="TableGrid1">
    <w:name w:val="Table Grid1"/>
    <w:basedOn w:val="TableNormal"/>
    <w:next w:val="TableGrid"/>
    <w:uiPriority w:val="59"/>
    <w:rsid w:val="00385D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8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5DCA"/>
    <w:pPr>
      <w:tabs>
        <w:tab w:val="center" w:pos="4513"/>
        <w:tab w:val="right" w:pos="9026"/>
      </w:tabs>
    </w:pPr>
  </w:style>
  <w:style w:type="character" w:customStyle="1" w:styleId="HeaderChar">
    <w:name w:val="Header Char"/>
    <w:basedOn w:val="DefaultParagraphFont"/>
    <w:link w:val="Header"/>
    <w:uiPriority w:val="99"/>
    <w:rsid w:val="00385DCA"/>
    <w:rPr>
      <w:sz w:val="24"/>
      <w:szCs w:val="24"/>
      <w:lang w:val="en-US" w:eastAsia="en-US"/>
    </w:rPr>
  </w:style>
  <w:style w:type="paragraph" w:styleId="Footer">
    <w:name w:val="footer"/>
    <w:basedOn w:val="Normal"/>
    <w:link w:val="FooterChar"/>
    <w:uiPriority w:val="99"/>
    <w:unhideWhenUsed/>
    <w:rsid w:val="00385DCA"/>
    <w:pPr>
      <w:tabs>
        <w:tab w:val="center" w:pos="4513"/>
        <w:tab w:val="right" w:pos="9026"/>
      </w:tabs>
    </w:pPr>
  </w:style>
  <w:style w:type="character" w:customStyle="1" w:styleId="FooterChar">
    <w:name w:val="Footer Char"/>
    <w:basedOn w:val="DefaultParagraphFont"/>
    <w:link w:val="Footer"/>
    <w:uiPriority w:val="99"/>
    <w:rsid w:val="00385DC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sz w:val="24"/>
      <w:szCs w:val="24"/>
      <w:u w:val="single"/>
    </w:rPr>
  </w:style>
  <w:style w:type="table" w:customStyle="1" w:styleId="TableGrid1">
    <w:name w:val="Table Grid1"/>
    <w:basedOn w:val="TableNormal"/>
    <w:next w:val="TableGrid"/>
    <w:uiPriority w:val="59"/>
    <w:rsid w:val="00385D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8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5DCA"/>
    <w:pPr>
      <w:tabs>
        <w:tab w:val="center" w:pos="4513"/>
        <w:tab w:val="right" w:pos="9026"/>
      </w:tabs>
    </w:pPr>
  </w:style>
  <w:style w:type="character" w:customStyle="1" w:styleId="HeaderChar">
    <w:name w:val="Header Char"/>
    <w:basedOn w:val="DefaultParagraphFont"/>
    <w:link w:val="Header"/>
    <w:uiPriority w:val="99"/>
    <w:rsid w:val="00385DCA"/>
    <w:rPr>
      <w:sz w:val="24"/>
      <w:szCs w:val="24"/>
      <w:lang w:val="en-US" w:eastAsia="en-US"/>
    </w:rPr>
  </w:style>
  <w:style w:type="paragraph" w:styleId="Footer">
    <w:name w:val="footer"/>
    <w:basedOn w:val="Normal"/>
    <w:link w:val="FooterChar"/>
    <w:uiPriority w:val="99"/>
    <w:unhideWhenUsed/>
    <w:rsid w:val="00385DCA"/>
    <w:pPr>
      <w:tabs>
        <w:tab w:val="center" w:pos="4513"/>
        <w:tab w:val="right" w:pos="9026"/>
      </w:tabs>
    </w:pPr>
  </w:style>
  <w:style w:type="character" w:customStyle="1" w:styleId="FooterChar">
    <w:name w:val="Footer Char"/>
    <w:basedOn w:val="DefaultParagraphFont"/>
    <w:link w:val="Footer"/>
    <w:uiPriority w:val="99"/>
    <w:rsid w:val="00385D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wmctuprevent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vent@west-midlands.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ratory.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Dickinson</dc:creator>
  <cp:lastModifiedBy>Clare Dickinson</cp:lastModifiedBy>
  <cp:revision>2</cp:revision>
  <dcterms:created xsi:type="dcterms:W3CDTF">2018-10-29T17:55:00Z</dcterms:created>
  <dcterms:modified xsi:type="dcterms:W3CDTF">2018-10-29T17:55:00Z</dcterms:modified>
</cp:coreProperties>
</file>